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A3391" w14:textId="77777777" w:rsidR="00DD1B49" w:rsidRDefault="00DD1B49">
      <w:pPr>
        <w:rPr>
          <w:rFonts w:asciiTheme="majorHAnsi" w:hAnsiTheme="majorHAnsi"/>
          <w:sz w:val="52"/>
          <w:szCs w:val="52"/>
          <w:lang w:val="en-US"/>
        </w:rPr>
      </w:pPr>
    </w:p>
    <w:p w14:paraId="7A38F3B0" w14:textId="77777777" w:rsidR="00DD1B49" w:rsidRDefault="00DD1B49">
      <w:pPr>
        <w:rPr>
          <w:rFonts w:asciiTheme="majorHAnsi" w:hAnsiTheme="majorHAnsi"/>
          <w:sz w:val="52"/>
          <w:szCs w:val="52"/>
          <w:lang w:val="en-US"/>
        </w:rPr>
      </w:pPr>
    </w:p>
    <w:p w14:paraId="75E99D5C" w14:textId="77777777" w:rsidR="00DD1B49" w:rsidRDefault="00DD1B49">
      <w:pPr>
        <w:rPr>
          <w:rFonts w:asciiTheme="majorHAnsi" w:hAnsiTheme="majorHAnsi"/>
          <w:sz w:val="52"/>
          <w:szCs w:val="52"/>
          <w:lang w:val="en-US"/>
        </w:rPr>
      </w:pPr>
    </w:p>
    <w:p w14:paraId="1E46C2BE" w14:textId="77777777" w:rsidR="00DD1B49" w:rsidRDefault="00DD1B49">
      <w:pPr>
        <w:rPr>
          <w:rFonts w:asciiTheme="majorHAnsi" w:hAnsiTheme="majorHAnsi"/>
          <w:sz w:val="52"/>
          <w:szCs w:val="52"/>
          <w:lang w:val="en-US"/>
        </w:rPr>
      </w:pPr>
    </w:p>
    <w:p w14:paraId="1BA9B14B" w14:textId="77777777" w:rsidR="00DD1B49" w:rsidRDefault="00DD1B49">
      <w:pPr>
        <w:rPr>
          <w:rFonts w:asciiTheme="majorHAnsi" w:hAnsiTheme="majorHAnsi"/>
          <w:sz w:val="52"/>
          <w:szCs w:val="52"/>
          <w:lang w:val="en-US"/>
        </w:rPr>
      </w:pPr>
    </w:p>
    <w:p w14:paraId="58033B8C" w14:textId="77777777" w:rsidR="002546D6" w:rsidRDefault="00DD1B49" w:rsidP="00DD1B49">
      <w:pPr>
        <w:jc w:val="center"/>
        <w:rPr>
          <w:rFonts w:asciiTheme="majorHAnsi" w:hAnsiTheme="majorHAnsi"/>
          <w:b/>
          <w:sz w:val="52"/>
          <w:szCs w:val="52"/>
        </w:rPr>
      </w:pPr>
      <w:r w:rsidRPr="00200825">
        <w:rPr>
          <w:rFonts w:asciiTheme="majorHAnsi" w:hAnsiTheme="majorHAnsi"/>
          <w:b/>
          <w:sz w:val="52"/>
          <w:szCs w:val="52"/>
        </w:rPr>
        <w:t xml:space="preserve">Політика </w:t>
      </w:r>
      <w:r w:rsidR="0061258D" w:rsidRPr="00200825">
        <w:rPr>
          <w:rFonts w:asciiTheme="majorHAnsi" w:hAnsiTheme="majorHAnsi"/>
          <w:b/>
          <w:sz w:val="52"/>
          <w:szCs w:val="52"/>
          <w:lang w:val="en-US"/>
        </w:rPr>
        <w:t>ILAC</w:t>
      </w:r>
      <w:r w:rsidR="0061258D" w:rsidRPr="00200825">
        <w:rPr>
          <w:rFonts w:asciiTheme="majorHAnsi" w:hAnsiTheme="majorHAnsi"/>
          <w:b/>
          <w:sz w:val="52"/>
          <w:szCs w:val="52"/>
        </w:rPr>
        <w:t xml:space="preserve"> </w:t>
      </w:r>
      <w:r w:rsidR="00D37782" w:rsidRPr="00200825">
        <w:rPr>
          <w:rFonts w:asciiTheme="majorHAnsi" w:hAnsiTheme="majorHAnsi"/>
          <w:b/>
          <w:sz w:val="52"/>
          <w:szCs w:val="52"/>
        </w:rPr>
        <w:t>для</w:t>
      </w:r>
      <w:r w:rsidRPr="00200825">
        <w:rPr>
          <w:rFonts w:asciiTheme="majorHAnsi" w:hAnsiTheme="majorHAnsi"/>
          <w:b/>
          <w:sz w:val="52"/>
          <w:szCs w:val="52"/>
        </w:rPr>
        <w:t xml:space="preserve"> </w:t>
      </w:r>
      <w:r w:rsidR="002546D6">
        <w:rPr>
          <w:rFonts w:asciiTheme="majorHAnsi" w:hAnsiTheme="majorHAnsi"/>
          <w:b/>
          <w:sz w:val="52"/>
          <w:szCs w:val="52"/>
        </w:rPr>
        <w:t xml:space="preserve">непевності </w:t>
      </w:r>
    </w:p>
    <w:p w14:paraId="0F1057A2" w14:textId="77777777" w:rsidR="00CB4838" w:rsidRPr="00200825" w:rsidRDefault="00C61C7C" w:rsidP="00DD1B49">
      <w:pPr>
        <w:jc w:val="center"/>
        <w:rPr>
          <w:rFonts w:asciiTheme="majorHAnsi" w:hAnsiTheme="majorHAnsi"/>
          <w:b/>
          <w:sz w:val="52"/>
          <w:szCs w:val="52"/>
        </w:rPr>
      </w:pPr>
      <w:r w:rsidRPr="00200825">
        <w:rPr>
          <w:rFonts w:asciiTheme="majorHAnsi" w:hAnsiTheme="majorHAnsi"/>
          <w:b/>
          <w:sz w:val="52"/>
          <w:szCs w:val="52"/>
        </w:rPr>
        <w:t xml:space="preserve">вимірювання </w:t>
      </w:r>
      <w:r w:rsidR="00DD1B49" w:rsidRPr="00200825">
        <w:rPr>
          <w:rFonts w:asciiTheme="majorHAnsi" w:hAnsiTheme="majorHAnsi"/>
          <w:b/>
          <w:sz w:val="52"/>
          <w:szCs w:val="52"/>
        </w:rPr>
        <w:t>в калібруванні</w:t>
      </w:r>
    </w:p>
    <w:p w14:paraId="00FE994D" w14:textId="77777777" w:rsidR="00DD1B49" w:rsidRPr="00200825" w:rsidRDefault="00DD1B49" w:rsidP="00DD1B49">
      <w:pPr>
        <w:jc w:val="center"/>
        <w:rPr>
          <w:rFonts w:asciiTheme="majorHAnsi" w:hAnsiTheme="majorHAnsi"/>
          <w:b/>
          <w:sz w:val="52"/>
          <w:szCs w:val="52"/>
        </w:rPr>
      </w:pPr>
    </w:p>
    <w:p w14:paraId="424BE255" w14:textId="77777777" w:rsidR="00DD1B49" w:rsidRDefault="00DD1B49" w:rsidP="00DD1B49">
      <w:pPr>
        <w:jc w:val="center"/>
        <w:rPr>
          <w:rFonts w:asciiTheme="majorHAnsi" w:hAnsiTheme="majorHAnsi"/>
          <w:b/>
          <w:sz w:val="52"/>
          <w:szCs w:val="52"/>
        </w:rPr>
      </w:pPr>
    </w:p>
    <w:p w14:paraId="7436BC08" w14:textId="77777777" w:rsidR="0070685E" w:rsidRPr="00200825" w:rsidRDefault="0070685E" w:rsidP="00DD1B49">
      <w:pPr>
        <w:jc w:val="center"/>
        <w:rPr>
          <w:rFonts w:asciiTheme="majorHAnsi" w:hAnsiTheme="majorHAnsi"/>
          <w:b/>
          <w:sz w:val="52"/>
          <w:szCs w:val="52"/>
        </w:rPr>
      </w:pPr>
    </w:p>
    <w:p w14:paraId="72D86C73" w14:textId="77777777" w:rsidR="00DD1B49" w:rsidRPr="00200825" w:rsidRDefault="00DD1B49" w:rsidP="00DD1B49">
      <w:pPr>
        <w:jc w:val="center"/>
        <w:rPr>
          <w:rFonts w:asciiTheme="majorHAnsi" w:hAnsiTheme="majorHAnsi"/>
          <w:b/>
          <w:sz w:val="52"/>
          <w:szCs w:val="52"/>
        </w:rPr>
      </w:pPr>
    </w:p>
    <w:p w14:paraId="73C56731" w14:textId="77777777" w:rsidR="00DD1B49" w:rsidRPr="00200825" w:rsidRDefault="00DD1B49" w:rsidP="00DD1B49">
      <w:pPr>
        <w:jc w:val="center"/>
        <w:rPr>
          <w:rFonts w:asciiTheme="majorHAnsi" w:hAnsiTheme="majorHAnsi"/>
          <w:b/>
          <w:sz w:val="52"/>
          <w:szCs w:val="52"/>
        </w:rPr>
      </w:pPr>
    </w:p>
    <w:p w14:paraId="7714C6E5" w14:textId="77777777" w:rsidR="00DD1B49" w:rsidRPr="00200825" w:rsidRDefault="00DD1B49" w:rsidP="00DD1B49">
      <w:pPr>
        <w:jc w:val="center"/>
        <w:rPr>
          <w:rFonts w:asciiTheme="majorHAnsi" w:hAnsiTheme="majorHAnsi"/>
          <w:b/>
          <w:sz w:val="52"/>
          <w:szCs w:val="52"/>
        </w:rPr>
      </w:pPr>
    </w:p>
    <w:p w14:paraId="731F4862" w14:textId="77777777" w:rsidR="00DD1B49" w:rsidRPr="00200825" w:rsidRDefault="00DD1B49" w:rsidP="00DD1B49">
      <w:pPr>
        <w:jc w:val="center"/>
        <w:rPr>
          <w:rFonts w:asciiTheme="majorHAnsi" w:hAnsiTheme="majorHAnsi"/>
          <w:b/>
          <w:sz w:val="52"/>
          <w:szCs w:val="52"/>
        </w:rPr>
      </w:pPr>
    </w:p>
    <w:p w14:paraId="1228C7EC" w14:textId="77777777" w:rsidR="00DD1B49" w:rsidRPr="00200825" w:rsidRDefault="00DD1B49" w:rsidP="00DD1B49">
      <w:pPr>
        <w:jc w:val="center"/>
        <w:rPr>
          <w:rFonts w:asciiTheme="majorHAnsi" w:hAnsiTheme="majorHAnsi"/>
          <w:b/>
          <w:sz w:val="52"/>
          <w:szCs w:val="52"/>
        </w:rPr>
      </w:pPr>
    </w:p>
    <w:p w14:paraId="418A6700" w14:textId="77777777" w:rsidR="00DD1B49" w:rsidRDefault="00DD1B49" w:rsidP="0070685E">
      <w:pPr>
        <w:rPr>
          <w:rFonts w:asciiTheme="majorHAnsi" w:hAnsiTheme="majorHAnsi"/>
          <w:b/>
          <w:sz w:val="52"/>
          <w:szCs w:val="52"/>
        </w:rPr>
      </w:pPr>
    </w:p>
    <w:p w14:paraId="759E42AA" w14:textId="77777777" w:rsidR="0070685E" w:rsidRPr="00200825" w:rsidRDefault="0070685E" w:rsidP="0070685E">
      <w:pPr>
        <w:rPr>
          <w:rFonts w:asciiTheme="majorHAnsi" w:hAnsiTheme="majorHAnsi"/>
          <w:b/>
          <w:sz w:val="52"/>
          <w:szCs w:val="52"/>
        </w:rPr>
      </w:pPr>
    </w:p>
    <w:p w14:paraId="53706187" w14:textId="77777777" w:rsidR="00DD1B49" w:rsidRPr="00200825" w:rsidRDefault="00DD1B49" w:rsidP="00DD1B49">
      <w:pPr>
        <w:jc w:val="both"/>
        <w:rPr>
          <w:rFonts w:asciiTheme="majorHAnsi" w:hAnsiTheme="majorHAnsi"/>
          <w:sz w:val="28"/>
          <w:szCs w:val="28"/>
        </w:rPr>
      </w:pPr>
    </w:p>
    <w:p w14:paraId="195A55EE" w14:textId="77777777" w:rsidR="00DD1B49" w:rsidRPr="00200825" w:rsidRDefault="00DD1B49" w:rsidP="00DD1B49">
      <w:pPr>
        <w:jc w:val="both"/>
        <w:rPr>
          <w:rFonts w:asciiTheme="majorHAnsi" w:hAnsiTheme="majorHAnsi"/>
          <w:sz w:val="28"/>
          <w:szCs w:val="28"/>
        </w:rPr>
      </w:pPr>
      <w:r w:rsidRPr="00200825">
        <w:rPr>
          <w:rFonts w:asciiTheme="majorHAnsi" w:hAnsiTheme="majorHAnsi"/>
          <w:sz w:val="28"/>
          <w:szCs w:val="28"/>
        </w:rPr>
        <w:t xml:space="preserve">Про </w:t>
      </w:r>
      <w:r w:rsidRPr="00200825">
        <w:rPr>
          <w:rFonts w:asciiTheme="majorHAnsi" w:hAnsiTheme="majorHAnsi"/>
          <w:sz w:val="28"/>
          <w:szCs w:val="28"/>
          <w:lang w:val="en-US"/>
        </w:rPr>
        <w:t>ILAC</w:t>
      </w:r>
    </w:p>
    <w:p w14:paraId="399F55CA" w14:textId="77777777" w:rsidR="00AF2E28" w:rsidRPr="00200825" w:rsidRDefault="00AF2E28" w:rsidP="00DD1B49">
      <w:pPr>
        <w:jc w:val="both"/>
        <w:rPr>
          <w:rFonts w:asciiTheme="majorHAnsi" w:hAnsiTheme="majorHAnsi"/>
          <w:sz w:val="28"/>
          <w:szCs w:val="28"/>
        </w:rPr>
      </w:pPr>
      <w:r w:rsidRPr="00200825">
        <w:rPr>
          <w:rFonts w:asciiTheme="majorHAnsi" w:hAnsiTheme="majorHAnsi"/>
          <w:sz w:val="28"/>
          <w:szCs w:val="28"/>
        </w:rPr>
        <w:t xml:space="preserve">ILAC - це всесвітня асоціація з акредитації лабораторій, інспекційних органів, </w:t>
      </w:r>
      <w:r w:rsidR="008743DF" w:rsidRPr="008743DF">
        <w:rPr>
          <w:rFonts w:asciiTheme="majorHAnsi" w:hAnsiTheme="majorHAnsi"/>
          <w:sz w:val="28"/>
          <w:szCs w:val="28"/>
        </w:rPr>
        <w:t>надавача програм перевіряння фаховості</w:t>
      </w:r>
      <w:r w:rsidRPr="00200825">
        <w:rPr>
          <w:rFonts w:asciiTheme="majorHAnsi" w:hAnsiTheme="majorHAnsi"/>
          <w:sz w:val="28"/>
          <w:szCs w:val="28"/>
        </w:rPr>
        <w:t xml:space="preserve"> та виробників </w:t>
      </w:r>
      <w:r w:rsidR="00D37782" w:rsidRPr="00200825">
        <w:rPr>
          <w:rFonts w:asciiTheme="majorHAnsi" w:hAnsiTheme="majorHAnsi"/>
          <w:sz w:val="28"/>
          <w:szCs w:val="28"/>
        </w:rPr>
        <w:t>референтних матеріалів</w:t>
      </w:r>
      <w:r w:rsidRPr="00200825">
        <w:rPr>
          <w:rFonts w:asciiTheme="majorHAnsi" w:hAnsiTheme="majorHAnsi"/>
          <w:sz w:val="28"/>
          <w:szCs w:val="28"/>
        </w:rPr>
        <w:t xml:space="preserve">, до складу якої входять органи з акредитації та організації </w:t>
      </w:r>
      <w:r w:rsidR="00940EAD" w:rsidRPr="00200825">
        <w:rPr>
          <w:rFonts w:asciiTheme="majorHAnsi" w:hAnsiTheme="majorHAnsi"/>
          <w:sz w:val="28"/>
          <w:szCs w:val="28"/>
        </w:rPr>
        <w:t>стейкхолдерів усього світу</w:t>
      </w:r>
      <w:r w:rsidRPr="00200825">
        <w:rPr>
          <w:rFonts w:asciiTheme="majorHAnsi" w:hAnsiTheme="majorHAnsi"/>
          <w:sz w:val="28"/>
          <w:szCs w:val="28"/>
        </w:rPr>
        <w:t>.</w:t>
      </w:r>
      <w:r w:rsidR="00E46CE2" w:rsidRPr="00200825">
        <w:rPr>
          <w:rFonts w:asciiTheme="majorHAnsi" w:hAnsiTheme="majorHAnsi"/>
          <w:sz w:val="28"/>
          <w:szCs w:val="28"/>
        </w:rPr>
        <w:t xml:space="preserve"> </w:t>
      </w:r>
    </w:p>
    <w:p w14:paraId="30AB076B" w14:textId="77777777" w:rsidR="00E46CE2" w:rsidRPr="00200825" w:rsidRDefault="00E46CE2" w:rsidP="00E46CE2">
      <w:pPr>
        <w:jc w:val="both"/>
        <w:rPr>
          <w:rFonts w:asciiTheme="majorHAnsi" w:hAnsiTheme="majorHAnsi"/>
          <w:sz w:val="28"/>
          <w:szCs w:val="28"/>
        </w:rPr>
      </w:pPr>
      <w:r w:rsidRPr="00200825">
        <w:rPr>
          <w:rFonts w:asciiTheme="majorHAnsi" w:hAnsiTheme="majorHAnsi"/>
          <w:sz w:val="28"/>
          <w:szCs w:val="28"/>
        </w:rPr>
        <w:t>Це</w:t>
      </w:r>
      <w:r w:rsidR="00C61C7C" w:rsidRPr="00200825">
        <w:rPr>
          <w:rFonts w:asciiTheme="majorHAnsi" w:hAnsiTheme="majorHAnsi"/>
          <w:sz w:val="28"/>
          <w:szCs w:val="28"/>
        </w:rPr>
        <w:t xml:space="preserve"> представницька організація </w:t>
      </w:r>
      <w:r w:rsidRPr="00200825">
        <w:rPr>
          <w:rFonts w:asciiTheme="majorHAnsi" w:hAnsiTheme="majorHAnsi"/>
          <w:sz w:val="28"/>
          <w:szCs w:val="28"/>
        </w:rPr>
        <w:t>займається:</w:t>
      </w:r>
    </w:p>
    <w:p w14:paraId="2C484FF7" w14:textId="77777777" w:rsidR="00E46CE2" w:rsidRPr="00200825" w:rsidRDefault="00E46CE2" w:rsidP="00E46CE2">
      <w:pPr>
        <w:pStyle w:val="a3"/>
        <w:numPr>
          <w:ilvl w:val="0"/>
          <w:numId w:val="1"/>
        </w:numPr>
        <w:jc w:val="both"/>
        <w:rPr>
          <w:rFonts w:asciiTheme="majorHAnsi" w:hAnsiTheme="majorHAnsi"/>
          <w:sz w:val="28"/>
          <w:szCs w:val="28"/>
        </w:rPr>
      </w:pPr>
      <w:r w:rsidRPr="00200825">
        <w:rPr>
          <w:rFonts w:asciiTheme="majorHAnsi" w:hAnsiTheme="majorHAnsi"/>
          <w:sz w:val="28"/>
          <w:szCs w:val="28"/>
        </w:rPr>
        <w:t>розвитком практик і процедур акредитації,</w:t>
      </w:r>
    </w:p>
    <w:p w14:paraId="6D308421" w14:textId="77777777" w:rsidR="00E46CE2" w:rsidRPr="00200825" w:rsidRDefault="00E46CE2" w:rsidP="00E46CE2">
      <w:pPr>
        <w:pStyle w:val="a3"/>
        <w:numPr>
          <w:ilvl w:val="0"/>
          <w:numId w:val="1"/>
        </w:numPr>
        <w:jc w:val="both"/>
        <w:rPr>
          <w:rFonts w:asciiTheme="majorHAnsi" w:hAnsiTheme="majorHAnsi"/>
          <w:sz w:val="28"/>
          <w:szCs w:val="28"/>
        </w:rPr>
      </w:pPr>
      <w:r w:rsidRPr="00200825">
        <w:rPr>
          <w:rFonts w:asciiTheme="majorHAnsi" w:hAnsiTheme="majorHAnsi"/>
          <w:sz w:val="28"/>
          <w:szCs w:val="28"/>
        </w:rPr>
        <w:t>просування</w:t>
      </w:r>
      <w:r w:rsidR="00347298" w:rsidRPr="00200825">
        <w:rPr>
          <w:rFonts w:asciiTheme="majorHAnsi" w:hAnsiTheme="majorHAnsi"/>
          <w:sz w:val="28"/>
          <w:szCs w:val="28"/>
        </w:rPr>
        <w:t>м акредитації як інструмент</w:t>
      </w:r>
      <w:r w:rsidRPr="00200825">
        <w:rPr>
          <w:rFonts w:asciiTheme="majorHAnsi" w:hAnsiTheme="majorHAnsi"/>
          <w:sz w:val="28"/>
          <w:szCs w:val="28"/>
        </w:rPr>
        <w:t xml:space="preserve"> сприяння торгівлі,</w:t>
      </w:r>
    </w:p>
    <w:p w14:paraId="7949D82D" w14:textId="77777777" w:rsidR="00E46CE2" w:rsidRPr="00200825" w:rsidRDefault="00E46CE2" w:rsidP="00E46CE2">
      <w:pPr>
        <w:pStyle w:val="a3"/>
        <w:numPr>
          <w:ilvl w:val="0"/>
          <w:numId w:val="1"/>
        </w:numPr>
        <w:jc w:val="both"/>
        <w:rPr>
          <w:rFonts w:asciiTheme="majorHAnsi" w:hAnsiTheme="majorHAnsi"/>
          <w:sz w:val="28"/>
          <w:szCs w:val="28"/>
        </w:rPr>
      </w:pPr>
      <w:r w:rsidRPr="00200825">
        <w:rPr>
          <w:rFonts w:asciiTheme="majorHAnsi" w:hAnsiTheme="majorHAnsi"/>
          <w:sz w:val="28"/>
          <w:szCs w:val="28"/>
        </w:rPr>
        <w:t>підтримкою надання місцевих і національних послуг,</w:t>
      </w:r>
    </w:p>
    <w:p w14:paraId="20F72FA9" w14:textId="77777777" w:rsidR="00E46CE2" w:rsidRPr="00200825" w:rsidRDefault="00E46CE2" w:rsidP="00E46CE2">
      <w:pPr>
        <w:pStyle w:val="a3"/>
        <w:numPr>
          <w:ilvl w:val="0"/>
          <w:numId w:val="1"/>
        </w:numPr>
        <w:jc w:val="both"/>
        <w:rPr>
          <w:rFonts w:asciiTheme="majorHAnsi" w:hAnsiTheme="majorHAnsi"/>
          <w:sz w:val="28"/>
          <w:szCs w:val="28"/>
        </w:rPr>
      </w:pPr>
      <w:r w:rsidRPr="00200825">
        <w:rPr>
          <w:rFonts w:asciiTheme="majorHAnsi" w:hAnsiTheme="majorHAnsi"/>
          <w:sz w:val="28"/>
          <w:szCs w:val="28"/>
        </w:rPr>
        <w:t>сприянням розвитку систем акредитації,</w:t>
      </w:r>
    </w:p>
    <w:p w14:paraId="45EC1CDE" w14:textId="77777777" w:rsidR="00E46CE2" w:rsidRPr="00200825" w:rsidRDefault="00E46CE2" w:rsidP="00E46CE2">
      <w:pPr>
        <w:pStyle w:val="a3"/>
        <w:numPr>
          <w:ilvl w:val="0"/>
          <w:numId w:val="1"/>
        </w:numPr>
        <w:jc w:val="both"/>
        <w:rPr>
          <w:rFonts w:asciiTheme="majorHAnsi" w:hAnsiTheme="majorHAnsi"/>
          <w:sz w:val="28"/>
          <w:szCs w:val="28"/>
        </w:rPr>
      </w:pPr>
      <w:r w:rsidRPr="00200825">
        <w:rPr>
          <w:rFonts w:asciiTheme="majorHAnsi" w:hAnsiTheme="majorHAnsi"/>
          <w:sz w:val="28"/>
          <w:szCs w:val="28"/>
        </w:rPr>
        <w:t>визнанням компетентних випробувальних (</w:t>
      </w:r>
      <w:r w:rsidR="00DA3D59" w:rsidRPr="00200825">
        <w:rPr>
          <w:rFonts w:asciiTheme="majorHAnsi" w:hAnsiTheme="majorHAnsi"/>
          <w:sz w:val="28"/>
          <w:szCs w:val="28"/>
        </w:rPr>
        <w:t>включно з медичними</w:t>
      </w:r>
      <w:r w:rsidRPr="00200825">
        <w:rPr>
          <w:rFonts w:asciiTheme="majorHAnsi" w:hAnsiTheme="majorHAnsi"/>
          <w:sz w:val="28"/>
          <w:szCs w:val="28"/>
        </w:rPr>
        <w:t>) та калібрувал</w:t>
      </w:r>
      <w:r w:rsidR="00D37782" w:rsidRPr="00200825">
        <w:rPr>
          <w:rFonts w:asciiTheme="majorHAnsi" w:hAnsiTheme="majorHAnsi"/>
          <w:sz w:val="28"/>
          <w:szCs w:val="28"/>
        </w:rPr>
        <w:t xml:space="preserve">ьних лабораторій, </w:t>
      </w:r>
      <w:r w:rsidR="00DA4F6D" w:rsidRPr="00200825">
        <w:rPr>
          <w:rFonts w:asciiTheme="majorHAnsi" w:hAnsiTheme="majorHAnsi"/>
          <w:sz w:val="28"/>
          <w:szCs w:val="28"/>
        </w:rPr>
        <w:t>контролюючих</w:t>
      </w:r>
      <w:r w:rsidRPr="00200825">
        <w:rPr>
          <w:rFonts w:asciiTheme="majorHAnsi" w:hAnsiTheme="majorHAnsi"/>
          <w:sz w:val="28"/>
          <w:szCs w:val="28"/>
        </w:rPr>
        <w:t xml:space="preserve"> </w:t>
      </w:r>
      <w:r w:rsidR="00D37782" w:rsidRPr="00200825">
        <w:rPr>
          <w:rFonts w:asciiTheme="majorHAnsi" w:hAnsiTheme="majorHAnsi"/>
          <w:sz w:val="28"/>
          <w:szCs w:val="28"/>
        </w:rPr>
        <w:t xml:space="preserve">органів, </w:t>
      </w:r>
      <w:r w:rsidR="00FC0E75">
        <w:rPr>
          <w:rFonts w:asciiTheme="majorHAnsi" w:hAnsiTheme="majorHAnsi"/>
          <w:sz w:val="28"/>
          <w:szCs w:val="28"/>
        </w:rPr>
        <w:t>надавача програм перевіряння фаховості</w:t>
      </w:r>
      <w:r w:rsidR="00D37782" w:rsidRPr="00200825">
        <w:rPr>
          <w:rFonts w:asciiTheme="majorHAnsi" w:hAnsiTheme="majorHAnsi"/>
          <w:sz w:val="28"/>
          <w:szCs w:val="28"/>
        </w:rPr>
        <w:t xml:space="preserve"> та виробників</w:t>
      </w:r>
      <w:r w:rsidRPr="00200825">
        <w:rPr>
          <w:rFonts w:asciiTheme="majorHAnsi" w:hAnsiTheme="majorHAnsi"/>
          <w:sz w:val="28"/>
          <w:szCs w:val="28"/>
        </w:rPr>
        <w:t xml:space="preserve"> </w:t>
      </w:r>
      <w:r w:rsidR="00D37782" w:rsidRPr="00200825">
        <w:rPr>
          <w:rFonts w:asciiTheme="majorHAnsi" w:hAnsiTheme="majorHAnsi"/>
          <w:sz w:val="28"/>
          <w:szCs w:val="28"/>
        </w:rPr>
        <w:t>референтних матеріалів</w:t>
      </w:r>
      <w:r w:rsidRPr="00200825">
        <w:rPr>
          <w:rFonts w:asciiTheme="majorHAnsi" w:hAnsiTheme="majorHAnsi"/>
          <w:sz w:val="28"/>
          <w:szCs w:val="28"/>
        </w:rPr>
        <w:t xml:space="preserve"> у всьому світі.</w:t>
      </w:r>
    </w:p>
    <w:p w14:paraId="0E1C4C84" w14:textId="77777777" w:rsidR="00911975" w:rsidRPr="00200825" w:rsidRDefault="00911975" w:rsidP="00911975">
      <w:pPr>
        <w:pStyle w:val="a3"/>
        <w:jc w:val="both"/>
        <w:rPr>
          <w:rFonts w:asciiTheme="majorHAnsi" w:hAnsiTheme="majorHAnsi"/>
          <w:sz w:val="28"/>
          <w:szCs w:val="28"/>
        </w:rPr>
      </w:pPr>
    </w:p>
    <w:p w14:paraId="6EB00B96" w14:textId="77777777" w:rsidR="00107F46" w:rsidRPr="00200825" w:rsidRDefault="00107F46" w:rsidP="00107F46">
      <w:pPr>
        <w:pStyle w:val="a3"/>
        <w:ind w:left="0"/>
        <w:jc w:val="both"/>
        <w:rPr>
          <w:rFonts w:asciiTheme="majorHAnsi" w:hAnsiTheme="majorHAnsi"/>
          <w:sz w:val="28"/>
          <w:szCs w:val="28"/>
        </w:rPr>
      </w:pPr>
      <w:r w:rsidRPr="00200825">
        <w:rPr>
          <w:rFonts w:asciiTheme="majorHAnsi" w:hAnsiTheme="majorHAnsi"/>
          <w:sz w:val="28"/>
          <w:szCs w:val="28"/>
        </w:rPr>
        <w:t xml:space="preserve">ILAC активно співпрацює з іншими відповідними міжнародними організаціями для досягнення цих цілей. </w:t>
      </w:r>
    </w:p>
    <w:p w14:paraId="72B97D10" w14:textId="77777777" w:rsidR="00107F46" w:rsidRPr="00200825" w:rsidRDefault="00107F46" w:rsidP="00107F46">
      <w:pPr>
        <w:pStyle w:val="a3"/>
        <w:ind w:left="0"/>
        <w:jc w:val="both"/>
        <w:rPr>
          <w:rFonts w:asciiTheme="majorHAnsi" w:hAnsiTheme="majorHAnsi"/>
          <w:sz w:val="28"/>
          <w:szCs w:val="28"/>
        </w:rPr>
      </w:pPr>
    </w:p>
    <w:p w14:paraId="50FFCD84" w14:textId="77777777" w:rsidR="00107F46" w:rsidRPr="00200825" w:rsidRDefault="00107F46" w:rsidP="000A5921">
      <w:pPr>
        <w:jc w:val="both"/>
        <w:rPr>
          <w:rFonts w:asciiTheme="majorHAnsi" w:hAnsiTheme="majorHAnsi"/>
          <w:sz w:val="28"/>
          <w:szCs w:val="28"/>
        </w:rPr>
      </w:pPr>
      <w:r w:rsidRPr="00200825">
        <w:rPr>
          <w:rFonts w:asciiTheme="majorHAnsi" w:hAnsiTheme="majorHAnsi"/>
          <w:sz w:val="28"/>
          <w:szCs w:val="28"/>
        </w:rPr>
        <w:t xml:space="preserve">ILAC сприяє </w:t>
      </w:r>
      <w:r w:rsidR="003265D4" w:rsidRPr="00200825">
        <w:rPr>
          <w:rFonts w:asciiTheme="majorHAnsi" w:hAnsiTheme="majorHAnsi"/>
          <w:sz w:val="28"/>
          <w:szCs w:val="28"/>
        </w:rPr>
        <w:t>торгівлі та підтримує регуляторів</w:t>
      </w:r>
      <w:r w:rsidRPr="00200825">
        <w:rPr>
          <w:rFonts w:asciiTheme="majorHAnsi" w:hAnsiTheme="majorHAnsi"/>
          <w:sz w:val="28"/>
          <w:szCs w:val="28"/>
        </w:rPr>
        <w:t>, керуючи</w:t>
      </w:r>
      <w:r w:rsidR="00C61C7C" w:rsidRPr="00200825">
        <w:rPr>
          <w:rFonts w:asciiTheme="majorHAnsi" w:hAnsiTheme="majorHAnsi"/>
          <w:sz w:val="28"/>
          <w:szCs w:val="28"/>
        </w:rPr>
        <w:t>сь</w:t>
      </w:r>
      <w:r w:rsidRPr="00200825">
        <w:rPr>
          <w:rFonts w:asciiTheme="majorHAnsi" w:hAnsiTheme="majorHAnsi"/>
          <w:sz w:val="28"/>
          <w:szCs w:val="28"/>
        </w:rPr>
        <w:t xml:space="preserve"> всесвітньою угодою про взаємне визнання - </w:t>
      </w:r>
      <w:r w:rsidR="003265D4" w:rsidRPr="00200825">
        <w:rPr>
          <w:rFonts w:asciiTheme="majorHAnsi" w:hAnsiTheme="majorHAnsi"/>
          <w:sz w:val="28"/>
          <w:szCs w:val="28"/>
        </w:rPr>
        <w:t>Угода ILAC - серед органів</w:t>
      </w:r>
      <w:r w:rsidRPr="00200825">
        <w:rPr>
          <w:rFonts w:asciiTheme="majorHAnsi" w:hAnsiTheme="majorHAnsi"/>
          <w:sz w:val="28"/>
          <w:szCs w:val="28"/>
        </w:rPr>
        <w:t xml:space="preserve"> з акредитації (AB</w:t>
      </w:r>
      <w:r w:rsidR="003265D4" w:rsidRPr="00200825">
        <w:rPr>
          <w:rFonts w:asciiTheme="majorHAnsi" w:hAnsiTheme="majorHAnsi"/>
          <w:sz w:val="28"/>
          <w:szCs w:val="28"/>
          <w:lang w:val="en-US"/>
        </w:rPr>
        <w:t>s</w:t>
      </w:r>
      <w:r w:rsidRPr="00200825">
        <w:rPr>
          <w:rFonts w:asciiTheme="majorHAnsi" w:hAnsiTheme="majorHAnsi"/>
          <w:sz w:val="28"/>
          <w:szCs w:val="28"/>
        </w:rPr>
        <w:t>).</w:t>
      </w:r>
      <w:r w:rsidR="000A5921" w:rsidRPr="00200825">
        <w:t xml:space="preserve"> </w:t>
      </w:r>
      <w:r w:rsidR="000A5921" w:rsidRPr="00200825">
        <w:rPr>
          <w:rFonts w:asciiTheme="majorHAnsi" w:hAnsiTheme="majorHAnsi"/>
          <w:sz w:val="28"/>
          <w:szCs w:val="28"/>
        </w:rPr>
        <w:t xml:space="preserve">Дані та результати випробувань, видані лабораторіями, </w:t>
      </w:r>
      <w:r w:rsidR="00DA4F6D" w:rsidRPr="00200825">
        <w:rPr>
          <w:rFonts w:asciiTheme="majorHAnsi" w:hAnsiTheme="majorHAnsi"/>
          <w:sz w:val="28"/>
          <w:szCs w:val="28"/>
        </w:rPr>
        <w:t>контролюючими</w:t>
      </w:r>
      <w:r w:rsidR="000A5921" w:rsidRPr="00200825">
        <w:rPr>
          <w:rFonts w:asciiTheme="majorHAnsi" w:hAnsiTheme="majorHAnsi"/>
          <w:sz w:val="28"/>
          <w:szCs w:val="28"/>
        </w:rPr>
        <w:t xml:space="preserve"> органами, загальновідомі як органи з оцінки відповідності (CAB), за цією Угодою членів Ab</w:t>
      </w:r>
      <w:r w:rsidR="000A5921" w:rsidRPr="00200825">
        <w:rPr>
          <w:rFonts w:asciiTheme="majorHAnsi" w:hAnsiTheme="majorHAnsi"/>
          <w:sz w:val="28"/>
          <w:szCs w:val="28"/>
          <w:lang w:val="en-US"/>
        </w:rPr>
        <w:t>s</w:t>
      </w:r>
      <w:r w:rsidR="000A5921" w:rsidRPr="00200825">
        <w:rPr>
          <w:rFonts w:asciiTheme="majorHAnsi" w:hAnsiTheme="majorHAnsi"/>
          <w:sz w:val="28"/>
          <w:szCs w:val="28"/>
        </w:rPr>
        <w:t>, акредитованих ILAC, визнають в усьому світі.</w:t>
      </w:r>
      <w:r w:rsidR="00FD1CA7" w:rsidRPr="00200825">
        <w:rPr>
          <w:rFonts w:asciiTheme="majorHAnsi" w:hAnsiTheme="majorHAnsi"/>
          <w:sz w:val="28"/>
          <w:szCs w:val="28"/>
        </w:rPr>
        <w:t xml:space="preserve"> Отже, </w:t>
      </w:r>
      <w:r w:rsidR="002F01CB" w:rsidRPr="00200825">
        <w:rPr>
          <w:rFonts w:asciiTheme="majorHAnsi" w:hAnsiTheme="majorHAnsi"/>
          <w:sz w:val="28"/>
          <w:szCs w:val="28"/>
        </w:rPr>
        <w:t xml:space="preserve">тим самим </w:t>
      </w:r>
      <w:r w:rsidR="00FD1CA7" w:rsidRPr="00200825">
        <w:rPr>
          <w:rFonts w:asciiTheme="majorHAnsi" w:hAnsiTheme="majorHAnsi"/>
          <w:sz w:val="28"/>
          <w:szCs w:val="28"/>
        </w:rPr>
        <w:t>зменшуються технічні бар’єри для торгівлі, як</w:t>
      </w:r>
      <w:r w:rsidR="004C14F6" w:rsidRPr="00200825">
        <w:rPr>
          <w:rFonts w:asciiTheme="majorHAnsi" w:hAnsiTheme="majorHAnsi"/>
          <w:sz w:val="28"/>
          <w:szCs w:val="28"/>
        </w:rPr>
        <w:t>-от</w:t>
      </w:r>
      <w:r w:rsidR="00FD1CA7" w:rsidRPr="00200825">
        <w:rPr>
          <w:rFonts w:asciiTheme="majorHAnsi" w:hAnsiTheme="majorHAnsi"/>
          <w:sz w:val="28"/>
          <w:szCs w:val="28"/>
        </w:rPr>
        <w:t xml:space="preserve"> повторне </w:t>
      </w:r>
      <w:r w:rsidR="002F01CB" w:rsidRPr="00200825">
        <w:rPr>
          <w:rFonts w:asciiTheme="majorHAnsi" w:hAnsiTheme="majorHAnsi"/>
          <w:sz w:val="28"/>
          <w:szCs w:val="28"/>
        </w:rPr>
        <w:t xml:space="preserve">випробування виробів </w:t>
      </w:r>
      <w:r w:rsidR="00FD1CA7" w:rsidRPr="00200825">
        <w:rPr>
          <w:rFonts w:asciiTheme="majorHAnsi" w:hAnsiTheme="majorHAnsi"/>
          <w:sz w:val="28"/>
          <w:szCs w:val="28"/>
        </w:rPr>
        <w:t xml:space="preserve">кожного разу, коли вони потрапляють у нову економіку, </w:t>
      </w:r>
      <w:r w:rsidR="002F01CB" w:rsidRPr="00200825">
        <w:rPr>
          <w:rFonts w:asciiTheme="majorHAnsi" w:hAnsiTheme="majorHAnsi"/>
          <w:sz w:val="28"/>
          <w:szCs w:val="28"/>
        </w:rPr>
        <w:t>підтримуючи реалізацію</w:t>
      </w:r>
      <w:r w:rsidR="00FD1CA7" w:rsidRPr="00200825">
        <w:rPr>
          <w:rFonts w:asciiTheme="majorHAnsi" w:hAnsiTheme="majorHAnsi"/>
          <w:sz w:val="28"/>
          <w:szCs w:val="28"/>
        </w:rPr>
        <w:t xml:space="preserve"> мети вільної торгівлі «один раз акредитовано, </w:t>
      </w:r>
      <w:r w:rsidR="002F01CB" w:rsidRPr="00200825">
        <w:rPr>
          <w:rFonts w:asciiTheme="majorHAnsi" w:hAnsiTheme="majorHAnsi"/>
          <w:sz w:val="28"/>
          <w:szCs w:val="28"/>
        </w:rPr>
        <w:t>визнано</w:t>
      </w:r>
      <w:r w:rsidR="00FD1CA7" w:rsidRPr="00200825">
        <w:rPr>
          <w:rFonts w:asciiTheme="majorHAnsi" w:hAnsiTheme="majorHAnsi"/>
          <w:sz w:val="28"/>
          <w:szCs w:val="28"/>
        </w:rPr>
        <w:t xml:space="preserve"> всюди».</w:t>
      </w:r>
      <w:r w:rsidR="00816B1E" w:rsidRPr="00200825">
        <w:rPr>
          <w:rFonts w:asciiTheme="majorHAnsi" w:hAnsiTheme="majorHAnsi"/>
          <w:sz w:val="28"/>
          <w:szCs w:val="28"/>
        </w:rPr>
        <w:t xml:space="preserve"> </w:t>
      </w:r>
    </w:p>
    <w:p w14:paraId="007C20CA" w14:textId="77777777" w:rsidR="00816B1E" w:rsidRPr="00200825" w:rsidRDefault="00816B1E" w:rsidP="000A5921">
      <w:pPr>
        <w:jc w:val="both"/>
        <w:rPr>
          <w:rFonts w:asciiTheme="majorHAnsi" w:hAnsiTheme="majorHAnsi"/>
          <w:sz w:val="28"/>
          <w:szCs w:val="28"/>
        </w:rPr>
      </w:pPr>
      <w:r w:rsidRPr="00200825">
        <w:rPr>
          <w:rFonts w:asciiTheme="majorHAnsi" w:hAnsiTheme="majorHAnsi"/>
          <w:sz w:val="28"/>
          <w:szCs w:val="28"/>
        </w:rPr>
        <w:t xml:space="preserve">Окрім того, акредитація знижує ризик для бізнесу та його </w:t>
      </w:r>
      <w:r w:rsidR="008E3AC2" w:rsidRPr="00200825">
        <w:rPr>
          <w:rFonts w:asciiTheme="majorHAnsi" w:hAnsiTheme="majorHAnsi"/>
          <w:sz w:val="28"/>
          <w:szCs w:val="28"/>
        </w:rPr>
        <w:t xml:space="preserve">клієнтів, </w:t>
      </w:r>
      <w:r w:rsidRPr="00200825">
        <w:rPr>
          <w:rFonts w:asciiTheme="majorHAnsi" w:hAnsiTheme="majorHAnsi"/>
          <w:sz w:val="28"/>
          <w:szCs w:val="28"/>
        </w:rPr>
        <w:t>гарантуючи, що акредитовані CAB</w:t>
      </w:r>
      <w:r w:rsidRPr="00200825">
        <w:rPr>
          <w:rFonts w:asciiTheme="majorHAnsi" w:hAnsiTheme="majorHAnsi"/>
          <w:sz w:val="28"/>
          <w:szCs w:val="28"/>
          <w:lang w:val="en-US"/>
        </w:rPr>
        <w:t>s</w:t>
      </w:r>
      <w:r w:rsidRPr="00200825">
        <w:rPr>
          <w:rFonts w:asciiTheme="majorHAnsi" w:hAnsiTheme="majorHAnsi"/>
          <w:sz w:val="28"/>
          <w:szCs w:val="28"/>
        </w:rPr>
        <w:t xml:space="preserve"> є компетентними для виконання роботи, яку вони виконують у межах своєї сфери акредитації.</w:t>
      </w:r>
    </w:p>
    <w:p w14:paraId="3502A513" w14:textId="77777777" w:rsidR="00816B1E" w:rsidRPr="00200825" w:rsidRDefault="00765994" w:rsidP="000A5921">
      <w:pPr>
        <w:jc w:val="both"/>
        <w:rPr>
          <w:rFonts w:asciiTheme="majorHAnsi" w:hAnsiTheme="majorHAnsi"/>
          <w:sz w:val="28"/>
          <w:szCs w:val="28"/>
        </w:rPr>
      </w:pPr>
      <w:r w:rsidRPr="00200825">
        <w:rPr>
          <w:rFonts w:asciiTheme="majorHAnsi" w:hAnsiTheme="majorHAnsi"/>
          <w:sz w:val="28"/>
          <w:szCs w:val="28"/>
        </w:rPr>
        <w:t>У подальшому</w:t>
      </w:r>
      <w:r w:rsidR="00816B1E" w:rsidRPr="00200825">
        <w:rPr>
          <w:rFonts w:asciiTheme="majorHAnsi" w:hAnsiTheme="majorHAnsi"/>
          <w:sz w:val="28"/>
          <w:szCs w:val="28"/>
        </w:rPr>
        <w:t xml:space="preserve"> результати акредитованих</w:t>
      </w:r>
      <w:r w:rsidRPr="00200825">
        <w:rPr>
          <w:rFonts w:asciiTheme="majorHAnsi" w:hAnsiTheme="majorHAnsi"/>
          <w:sz w:val="28"/>
          <w:szCs w:val="28"/>
        </w:rPr>
        <w:t xml:space="preserve"> установ широко використовують регуляторні органи</w:t>
      </w:r>
      <w:r w:rsidR="00816B1E" w:rsidRPr="00200825">
        <w:rPr>
          <w:rFonts w:asciiTheme="majorHAnsi" w:hAnsiTheme="majorHAnsi"/>
          <w:sz w:val="28"/>
          <w:szCs w:val="28"/>
        </w:rPr>
        <w:t xml:space="preserve"> для суспільного блага в наданні послуг, </w:t>
      </w:r>
      <w:r w:rsidRPr="00200825">
        <w:rPr>
          <w:rFonts w:asciiTheme="majorHAnsi" w:hAnsiTheme="majorHAnsi"/>
          <w:sz w:val="28"/>
          <w:szCs w:val="28"/>
        </w:rPr>
        <w:t>сприяючи</w:t>
      </w:r>
      <w:r w:rsidR="00816B1E" w:rsidRPr="00200825">
        <w:rPr>
          <w:rFonts w:asciiTheme="majorHAnsi" w:hAnsiTheme="majorHAnsi"/>
          <w:sz w:val="28"/>
          <w:szCs w:val="28"/>
        </w:rPr>
        <w:t xml:space="preserve"> незабрудненому навколишньому середовищу, безпечним продуктам харчування, чистій воді, енергетиці, охороні здоров’я та соціальному забезпеченню.</w:t>
      </w:r>
    </w:p>
    <w:p w14:paraId="41838C84" w14:textId="77777777" w:rsidR="007259F0" w:rsidRPr="00200825" w:rsidRDefault="00A415FA" w:rsidP="000A5921">
      <w:pPr>
        <w:jc w:val="both"/>
        <w:rPr>
          <w:rFonts w:asciiTheme="majorHAnsi" w:hAnsiTheme="majorHAnsi"/>
          <w:sz w:val="28"/>
          <w:szCs w:val="28"/>
        </w:rPr>
      </w:pPr>
      <w:r w:rsidRPr="00200825">
        <w:rPr>
          <w:rFonts w:asciiTheme="majorHAnsi" w:hAnsiTheme="majorHAnsi"/>
          <w:sz w:val="28"/>
          <w:szCs w:val="28"/>
        </w:rPr>
        <w:t xml:space="preserve">Органи з акредитації, </w:t>
      </w:r>
      <w:r w:rsidR="00DA4F6D" w:rsidRPr="00200825">
        <w:rPr>
          <w:rFonts w:asciiTheme="majorHAnsi" w:hAnsiTheme="majorHAnsi"/>
          <w:sz w:val="28"/>
          <w:szCs w:val="28"/>
        </w:rPr>
        <w:t>що</w:t>
      </w:r>
      <w:r w:rsidRPr="00200825">
        <w:rPr>
          <w:rFonts w:asciiTheme="majorHAnsi" w:hAnsiTheme="majorHAnsi"/>
          <w:sz w:val="28"/>
          <w:szCs w:val="28"/>
        </w:rPr>
        <w:t xml:space="preserve"> є членами ILAC та CAB</w:t>
      </w:r>
      <w:r w:rsidRPr="00200825">
        <w:rPr>
          <w:rFonts w:asciiTheme="majorHAnsi" w:hAnsiTheme="majorHAnsi"/>
          <w:sz w:val="28"/>
          <w:szCs w:val="28"/>
          <w:lang w:val="en-US"/>
        </w:rPr>
        <w:t>s</w:t>
      </w:r>
      <w:r w:rsidRPr="00200825">
        <w:rPr>
          <w:rFonts w:asciiTheme="majorHAnsi" w:hAnsiTheme="majorHAnsi"/>
          <w:sz w:val="28"/>
          <w:szCs w:val="28"/>
        </w:rPr>
        <w:t xml:space="preserve">, які вони акредитують, зобов’язані відповідати відповідним міжнародним стандартам і </w:t>
      </w:r>
      <w:r w:rsidR="00DA4F6D" w:rsidRPr="00200825">
        <w:rPr>
          <w:rFonts w:asciiTheme="majorHAnsi" w:hAnsiTheme="majorHAnsi"/>
          <w:sz w:val="28"/>
          <w:szCs w:val="28"/>
        </w:rPr>
        <w:t xml:space="preserve">застосованим аплікаційним документам </w:t>
      </w:r>
      <w:r w:rsidRPr="00200825">
        <w:rPr>
          <w:rFonts w:asciiTheme="majorHAnsi" w:hAnsiTheme="majorHAnsi"/>
          <w:sz w:val="28"/>
          <w:szCs w:val="28"/>
        </w:rPr>
        <w:t xml:space="preserve">ILAC </w:t>
      </w:r>
      <w:r w:rsidR="00C139D6" w:rsidRPr="00200825">
        <w:rPr>
          <w:rFonts w:asciiTheme="majorHAnsi" w:hAnsiTheme="majorHAnsi"/>
          <w:sz w:val="28"/>
          <w:szCs w:val="28"/>
        </w:rPr>
        <w:t xml:space="preserve">щодо </w:t>
      </w:r>
      <w:r w:rsidRPr="00200825">
        <w:rPr>
          <w:rFonts w:asciiTheme="majorHAnsi" w:hAnsiTheme="majorHAnsi"/>
          <w:sz w:val="28"/>
          <w:szCs w:val="28"/>
        </w:rPr>
        <w:t>послідовного впровадження цих стандартів.</w:t>
      </w:r>
      <w:r w:rsidR="00DA4F6D" w:rsidRPr="00200825">
        <w:rPr>
          <w:rFonts w:asciiTheme="majorHAnsi" w:hAnsiTheme="majorHAnsi"/>
          <w:sz w:val="28"/>
          <w:szCs w:val="28"/>
        </w:rPr>
        <w:t xml:space="preserve"> </w:t>
      </w:r>
      <w:r w:rsidR="007259F0" w:rsidRPr="00200825">
        <w:rPr>
          <w:rFonts w:asciiTheme="majorHAnsi" w:hAnsiTheme="majorHAnsi"/>
          <w:sz w:val="28"/>
          <w:szCs w:val="28"/>
        </w:rPr>
        <w:t xml:space="preserve">Органи з </w:t>
      </w:r>
      <w:r w:rsidR="007259F0" w:rsidRPr="00200825">
        <w:rPr>
          <w:rFonts w:asciiTheme="majorHAnsi" w:hAnsiTheme="majorHAnsi"/>
          <w:sz w:val="28"/>
          <w:szCs w:val="28"/>
        </w:rPr>
        <w:lastRenderedPageBreak/>
        <w:t xml:space="preserve">акредитації, які підписали Угоду ILAC, підлягають експертній оцінці через офіційно створені та визнані регіональні органи співробітництва, які використовують правила та процедури ILAC, перш ніж стати </w:t>
      </w:r>
      <w:r w:rsidR="00BB58D4" w:rsidRPr="00200825">
        <w:rPr>
          <w:rFonts w:asciiTheme="majorHAnsi" w:hAnsiTheme="majorHAnsi"/>
          <w:sz w:val="28"/>
          <w:szCs w:val="28"/>
        </w:rPr>
        <w:t>підписантом</w:t>
      </w:r>
      <w:r w:rsidR="007259F0" w:rsidRPr="00200825">
        <w:rPr>
          <w:rFonts w:asciiTheme="majorHAnsi" w:hAnsiTheme="majorHAnsi"/>
          <w:sz w:val="28"/>
          <w:szCs w:val="28"/>
        </w:rPr>
        <w:t xml:space="preserve"> Угоди ILAC.</w:t>
      </w:r>
      <w:r w:rsidR="00A31A95" w:rsidRPr="00200825">
        <w:rPr>
          <w:rFonts w:asciiTheme="majorHAnsi" w:hAnsiTheme="majorHAnsi"/>
          <w:sz w:val="28"/>
          <w:szCs w:val="28"/>
        </w:rPr>
        <w:t xml:space="preserve"> </w:t>
      </w:r>
    </w:p>
    <w:p w14:paraId="6EB27549" w14:textId="77777777" w:rsidR="00DC7589" w:rsidRPr="00200825" w:rsidRDefault="00DC7589" w:rsidP="000A5921">
      <w:pPr>
        <w:jc w:val="both"/>
        <w:rPr>
          <w:rFonts w:asciiTheme="majorHAnsi" w:hAnsiTheme="majorHAnsi"/>
          <w:sz w:val="28"/>
          <w:szCs w:val="28"/>
        </w:rPr>
      </w:pPr>
      <w:r w:rsidRPr="00200825">
        <w:rPr>
          <w:rFonts w:asciiTheme="majorHAnsi" w:hAnsiTheme="majorHAnsi"/>
          <w:sz w:val="28"/>
          <w:szCs w:val="28"/>
        </w:rPr>
        <w:t xml:space="preserve">Веб-сайт ILAC надає низку інформації з тем, що охоплюють акредитацію, </w:t>
      </w:r>
      <w:r w:rsidR="00FC0E75">
        <w:rPr>
          <w:rFonts w:asciiTheme="majorHAnsi" w:hAnsiTheme="majorHAnsi"/>
          <w:sz w:val="28"/>
          <w:szCs w:val="28"/>
        </w:rPr>
        <w:t>оцінювання</w:t>
      </w:r>
      <w:r w:rsidRPr="00200825">
        <w:rPr>
          <w:rFonts w:asciiTheme="majorHAnsi" w:hAnsiTheme="majorHAnsi"/>
          <w:sz w:val="28"/>
          <w:szCs w:val="28"/>
        </w:rPr>
        <w:t xml:space="preserve"> відповідності, сприяння т</w:t>
      </w:r>
      <w:r w:rsidR="004C14F6" w:rsidRPr="00200825">
        <w:rPr>
          <w:rFonts w:asciiTheme="majorHAnsi" w:hAnsiTheme="majorHAnsi"/>
          <w:sz w:val="28"/>
          <w:szCs w:val="28"/>
        </w:rPr>
        <w:t>оргівлі, а також контактні дані</w:t>
      </w:r>
      <w:r w:rsidRPr="00200825">
        <w:rPr>
          <w:rFonts w:asciiTheme="majorHAnsi" w:hAnsiTheme="majorHAnsi"/>
          <w:sz w:val="28"/>
          <w:szCs w:val="28"/>
        </w:rPr>
        <w:t xml:space="preserve"> членів. </w:t>
      </w:r>
      <w:r w:rsidR="00C61C7C" w:rsidRPr="00200825">
        <w:rPr>
          <w:rFonts w:asciiTheme="majorHAnsi" w:hAnsiTheme="majorHAnsi"/>
          <w:sz w:val="28"/>
          <w:szCs w:val="28"/>
        </w:rPr>
        <w:t>Додаткову інформацію, яка показує</w:t>
      </w:r>
      <w:r w:rsidR="00EF1563" w:rsidRPr="00200825">
        <w:rPr>
          <w:rFonts w:asciiTheme="majorHAnsi" w:hAnsiTheme="majorHAnsi"/>
          <w:sz w:val="28"/>
          <w:szCs w:val="28"/>
        </w:rPr>
        <w:t xml:space="preserve"> значення акредитованої оцінки відповідності для регуляторів і державного сектору через приклади та незалежні дослідження, також можна знайти на сайті </w:t>
      </w:r>
      <w:hyperlink r:id="rId6" w:history="1">
        <w:r w:rsidR="00CB6BEE" w:rsidRPr="00200825">
          <w:rPr>
            <w:rStyle w:val="a4"/>
            <w:rFonts w:asciiTheme="majorHAnsi" w:hAnsiTheme="majorHAnsi"/>
            <w:sz w:val="28"/>
            <w:szCs w:val="28"/>
            <w:u w:val="none"/>
          </w:rPr>
          <w:t>www.publicsectorassurance.org</w:t>
        </w:r>
      </w:hyperlink>
      <w:r w:rsidR="00EF1563" w:rsidRPr="00200825">
        <w:rPr>
          <w:rFonts w:asciiTheme="majorHAnsi" w:hAnsiTheme="majorHAnsi"/>
          <w:sz w:val="28"/>
          <w:szCs w:val="28"/>
        </w:rPr>
        <w:t>.</w:t>
      </w:r>
    </w:p>
    <w:p w14:paraId="4F4A650F" w14:textId="77777777" w:rsidR="00CB6BEE" w:rsidRPr="00200825" w:rsidRDefault="00CB6BEE" w:rsidP="00CB6BEE">
      <w:pPr>
        <w:spacing w:after="0"/>
        <w:jc w:val="both"/>
        <w:rPr>
          <w:rFonts w:asciiTheme="majorHAnsi" w:hAnsiTheme="majorHAnsi"/>
          <w:b/>
          <w:sz w:val="28"/>
          <w:szCs w:val="28"/>
        </w:rPr>
      </w:pPr>
      <w:r w:rsidRPr="00200825">
        <w:rPr>
          <w:rFonts w:asciiTheme="majorHAnsi" w:hAnsiTheme="majorHAnsi"/>
          <w:b/>
          <w:sz w:val="28"/>
          <w:szCs w:val="28"/>
        </w:rPr>
        <w:t>Для отримання додаткової інформації звертайтеся до:</w:t>
      </w:r>
    </w:p>
    <w:p w14:paraId="7413CDE2" w14:textId="77777777" w:rsidR="00CB6BEE" w:rsidRPr="00200825" w:rsidRDefault="00CB6BEE" w:rsidP="00CB6BEE">
      <w:pPr>
        <w:spacing w:after="0"/>
        <w:jc w:val="both"/>
        <w:rPr>
          <w:rFonts w:asciiTheme="majorHAnsi" w:hAnsiTheme="majorHAnsi"/>
          <w:b/>
          <w:sz w:val="28"/>
          <w:szCs w:val="28"/>
        </w:rPr>
      </w:pPr>
      <w:r w:rsidRPr="00200825">
        <w:rPr>
          <w:rFonts w:asciiTheme="majorHAnsi" w:hAnsiTheme="majorHAnsi"/>
          <w:b/>
          <w:sz w:val="28"/>
          <w:szCs w:val="28"/>
        </w:rPr>
        <w:t>Секретаріат ILAC</w:t>
      </w:r>
    </w:p>
    <w:p w14:paraId="36CE4459" w14:textId="77777777" w:rsidR="00CB6BEE" w:rsidRPr="00200825" w:rsidRDefault="00CB6BEE" w:rsidP="00CB6BEE">
      <w:pPr>
        <w:spacing w:after="0"/>
        <w:jc w:val="both"/>
        <w:rPr>
          <w:rFonts w:asciiTheme="majorHAnsi" w:hAnsiTheme="majorHAnsi"/>
          <w:sz w:val="28"/>
          <w:szCs w:val="28"/>
        </w:rPr>
      </w:pPr>
      <w:r w:rsidRPr="00200825">
        <w:rPr>
          <w:rFonts w:asciiTheme="majorHAnsi" w:hAnsiTheme="majorHAnsi"/>
          <w:sz w:val="28"/>
          <w:szCs w:val="28"/>
        </w:rPr>
        <w:t xml:space="preserve">PO Box 7507 </w:t>
      </w:r>
    </w:p>
    <w:p w14:paraId="2220DDE1" w14:textId="77777777" w:rsidR="00CB6BEE" w:rsidRPr="00200825" w:rsidRDefault="00CB6BEE" w:rsidP="00CB6BEE">
      <w:pPr>
        <w:spacing w:after="0"/>
        <w:jc w:val="both"/>
        <w:rPr>
          <w:rFonts w:asciiTheme="majorHAnsi" w:hAnsiTheme="majorHAnsi"/>
          <w:sz w:val="28"/>
          <w:szCs w:val="28"/>
        </w:rPr>
      </w:pPr>
      <w:r w:rsidRPr="00200825">
        <w:rPr>
          <w:rFonts w:asciiTheme="majorHAnsi" w:hAnsiTheme="majorHAnsi"/>
          <w:sz w:val="28"/>
          <w:szCs w:val="28"/>
        </w:rPr>
        <w:t>Silverwater NSW 2128</w:t>
      </w:r>
    </w:p>
    <w:p w14:paraId="61ECC885" w14:textId="77777777" w:rsidR="00CB6BEE" w:rsidRPr="00200825" w:rsidRDefault="00CB6BEE" w:rsidP="00CB6BEE">
      <w:pPr>
        <w:spacing w:after="0"/>
        <w:jc w:val="both"/>
        <w:rPr>
          <w:rFonts w:asciiTheme="majorHAnsi" w:hAnsiTheme="majorHAnsi"/>
          <w:sz w:val="28"/>
          <w:szCs w:val="28"/>
        </w:rPr>
      </w:pPr>
      <w:r w:rsidRPr="00200825">
        <w:rPr>
          <w:rFonts w:asciiTheme="majorHAnsi" w:hAnsiTheme="majorHAnsi"/>
          <w:sz w:val="28"/>
          <w:szCs w:val="28"/>
        </w:rPr>
        <w:t xml:space="preserve">Australia Phone: +61 2 9736 8374 </w:t>
      </w:r>
    </w:p>
    <w:p w14:paraId="53D5709B" w14:textId="77777777" w:rsidR="00CB6BEE" w:rsidRPr="00200825" w:rsidRDefault="00CB6BEE" w:rsidP="00CB6BEE">
      <w:pPr>
        <w:spacing w:after="0"/>
        <w:jc w:val="both"/>
        <w:rPr>
          <w:rFonts w:asciiTheme="majorHAnsi" w:hAnsiTheme="majorHAnsi"/>
          <w:sz w:val="28"/>
          <w:szCs w:val="28"/>
        </w:rPr>
      </w:pPr>
      <w:r w:rsidRPr="00200825">
        <w:rPr>
          <w:rFonts w:asciiTheme="majorHAnsi" w:hAnsiTheme="majorHAnsi"/>
          <w:sz w:val="28"/>
          <w:szCs w:val="28"/>
        </w:rPr>
        <w:t xml:space="preserve">Email: </w:t>
      </w:r>
      <w:hyperlink r:id="rId7" w:history="1">
        <w:r w:rsidRPr="00200825">
          <w:rPr>
            <w:rStyle w:val="a4"/>
            <w:rFonts w:asciiTheme="majorHAnsi" w:hAnsiTheme="majorHAnsi"/>
            <w:sz w:val="28"/>
            <w:szCs w:val="28"/>
            <w:u w:val="none"/>
          </w:rPr>
          <w:t>ilac@nata.com.au</w:t>
        </w:r>
      </w:hyperlink>
      <w:r w:rsidRPr="00200825">
        <w:rPr>
          <w:rFonts w:asciiTheme="majorHAnsi" w:hAnsiTheme="majorHAnsi"/>
          <w:sz w:val="28"/>
          <w:szCs w:val="28"/>
        </w:rPr>
        <w:t xml:space="preserve"> </w:t>
      </w:r>
    </w:p>
    <w:p w14:paraId="3E4DBF6D" w14:textId="77777777" w:rsidR="00CB6BEE" w:rsidRPr="00200825" w:rsidRDefault="00CB6BEE" w:rsidP="00CB6BEE">
      <w:pPr>
        <w:spacing w:after="0"/>
        <w:jc w:val="both"/>
        <w:rPr>
          <w:rFonts w:asciiTheme="majorHAnsi" w:hAnsiTheme="majorHAnsi"/>
          <w:sz w:val="28"/>
          <w:szCs w:val="28"/>
        </w:rPr>
      </w:pPr>
      <w:r w:rsidRPr="00200825">
        <w:rPr>
          <w:rFonts w:asciiTheme="majorHAnsi" w:hAnsiTheme="majorHAnsi"/>
          <w:sz w:val="28"/>
          <w:szCs w:val="28"/>
        </w:rPr>
        <w:t xml:space="preserve">Website: </w:t>
      </w:r>
      <w:hyperlink r:id="rId8" w:history="1">
        <w:r w:rsidRPr="00200825">
          <w:rPr>
            <w:rStyle w:val="a4"/>
            <w:rFonts w:asciiTheme="majorHAnsi" w:hAnsiTheme="majorHAnsi"/>
            <w:sz w:val="28"/>
            <w:szCs w:val="28"/>
            <w:u w:val="none"/>
          </w:rPr>
          <w:t>www.ilac.org</w:t>
        </w:r>
      </w:hyperlink>
      <w:r w:rsidRPr="00200825">
        <w:rPr>
          <w:rFonts w:asciiTheme="majorHAnsi" w:hAnsiTheme="majorHAnsi"/>
          <w:sz w:val="28"/>
          <w:szCs w:val="28"/>
        </w:rPr>
        <w:t xml:space="preserve"> </w:t>
      </w:r>
    </w:p>
    <w:p w14:paraId="47B59FA0" w14:textId="77777777" w:rsidR="00CB6BEE" w:rsidRPr="00200825" w:rsidRDefault="00CB6BEE" w:rsidP="00CB6BEE">
      <w:pPr>
        <w:spacing w:after="0"/>
        <w:jc w:val="both"/>
        <w:rPr>
          <w:rFonts w:asciiTheme="majorHAnsi" w:hAnsiTheme="majorHAnsi"/>
          <w:sz w:val="28"/>
          <w:szCs w:val="28"/>
        </w:rPr>
      </w:pPr>
      <w:r w:rsidRPr="00200825">
        <w:rPr>
          <w:rFonts w:asciiTheme="majorHAnsi" w:hAnsiTheme="majorHAnsi"/>
          <w:sz w:val="28"/>
          <w:szCs w:val="28"/>
        </w:rPr>
        <w:t xml:space="preserve">@ILAC_Official </w:t>
      </w:r>
    </w:p>
    <w:p w14:paraId="1DB98D9A" w14:textId="77777777" w:rsidR="00CB6BEE" w:rsidRPr="00200825" w:rsidRDefault="00CB6BEE" w:rsidP="00CB6BEE">
      <w:pPr>
        <w:spacing w:after="0"/>
        <w:jc w:val="both"/>
        <w:rPr>
          <w:rFonts w:asciiTheme="majorHAnsi" w:hAnsiTheme="majorHAnsi"/>
          <w:sz w:val="28"/>
          <w:szCs w:val="28"/>
        </w:rPr>
      </w:pPr>
      <w:hyperlink r:id="rId9" w:history="1">
        <w:r w:rsidRPr="00200825">
          <w:rPr>
            <w:rStyle w:val="a4"/>
            <w:rFonts w:asciiTheme="majorHAnsi" w:hAnsiTheme="majorHAnsi"/>
            <w:sz w:val="28"/>
            <w:szCs w:val="28"/>
            <w:u w:val="none"/>
          </w:rPr>
          <w:t>https://www.youtube.com/user/IAFandILAC</w:t>
        </w:r>
      </w:hyperlink>
      <w:r w:rsidRPr="00200825">
        <w:rPr>
          <w:rFonts w:asciiTheme="majorHAnsi" w:hAnsiTheme="majorHAnsi"/>
          <w:sz w:val="28"/>
          <w:szCs w:val="28"/>
        </w:rPr>
        <w:t xml:space="preserve"> </w:t>
      </w:r>
    </w:p>
    <w:p w14:paraId="727A0391" w14:textId="77777777" w:rsidR="00CB6BEE" w:rsidRPr="00200825" w:rsidRDefault="00CB6BEE" w:rsidP="00CB6BEE">
      <w:pPr>
        <w:spacing w:after="0"/>
        <w:jc w:val="both"/>
        <w:rPr>
          <w:rFonts w:asciiTheme="majorHAnsi" w:hAnsiTheme="majorHAnsi"/>
          <w:sz w:val="28"/>
          <w:szCs w:val="28"/>
        </w:rPr>
      </w:pPr>
      <w:r w:rsidRPr="00200825">
        <w:rPr>
          <w:rFonts w:asciiTheme="majorHAnsi" w:hAnsiTheme="majorHAnsi"/>
          <w:sz w:val="28"/>
          <w:szCs w:val="28"/>
        </w:rPr>
        <w:t>© Copyright ILAC 2020</w:t>
      </w:r>
    </w:p>
    <w:p w14:paraId="4DE7BB79" w14:textId="77777777" w:rsidR="00CB6BEE" w:rsidRPr="00200825" w:rsidRDefault="00CB6BEE" w:rsidP="00CB6BEE">
      <w:pPr>
        <w:spacing w:after="0"/>
        <w:jc w:val="both"/>
        <w:rPr>
          <w:rFonts w:asciiTheme="majorHAnsi" w:hAnsiTheme="majorHAnsi"/>
          <w:sz w:val="28"/>
          <w:szCs w:val="28"/>
        </w:rPr>
      </w:pPr>
    </w:p>
    <w:p w14:paraId="4E0FFD14" w14:textId="77777777" w:rsidR="00FB1180" w:rsidRPr="00200825" w:rsidRDefault="00FB1180" w:rsidP="00CB6BEE">
      <w:pPr>
        <w:spacing w:after="0"/>
        <w:jc w:val="both"/>
        <w:rPr>
          <w:rFonts w:asciiTheme="majorHAnsi" w:hAnsiTheme="majorHAnsi"/>
          <w:sz w:val="28"/>
          <w:szCs w:val="28"/>
        </w:rPr>
      </w:pPr>
      <w:r w:rsidRPr="00200825">
        <w:rPr>
          <w:rFonts w:asciiTheme="majorHAnsi" w:hAnsiTheme="majorHAnsi"/>
          <w:sz w:val="28"/>
          <w:szCs w:val="28"/>
        </w:rPr>
        <w:t>ILAC заохочує авторизоване відтворення своїх публікацій або їх частин організаціями, які бажають використовувати такі матеріали для сфер, пов’язаних із освітою, стандартизацією, акредитацією чи іншими цілями, пов’язаними зі сферою компетенції чи діяльністю ILAC. Документ, у якому з’являється відтворений матеріал, повинен містити посилання на ILAC.</w:t>
      </w:r>
    </w:p>
    <w:p w14:paraId="566CC63A" w14:textId="77777777" w:rsidR="00FB1180" w:rsidRPr="00200825" w:rsidRDefault="00FB1180" w:rsidP="00CB6BEE">
      <w:pPr>
        <w:spacing w:after="0"/>
        <w:jc w:val="both"/>
        <w:rPr>
          <w:rFonts w:asciiTheme="majorHAnsi" w:hAnsiTheme="majorHAnsi"/>
          <w:sz w:val="28"/>
          <w:szCs w:val="28"/>
        </w:rPr>
      </w:pPr>
    </w:p>
    <w:p w14:paraId="25FD705F" w14:textId="77777777" w:rsidR="00FB1180" w:rsidRPr="00200825" w:rsidRDefault="00FB1180" w:rsidP="00CB6BEE">
      <w:pPr>
        <w:spacing w:after="0"/>
        <w:jc w:val="both"/>
        <w:rPr>
          <w:rFonts w:asciiTheme="majorHAnsi" w:hAnsiTheme="majorHAnsi"/>
          <w:sz w:val="28"/>
          <w:szCs w:val="28"/>
        </w:rPr>
      </w:pPr>
    </w:p>
    <w:p w14:paraId="06CCA310" w14:textId="77777777" w:rsidR="00FB1180" w:rsidRPr="00200825" w:rsidRDefault="00FB1180" w:rsidP="00CB6BEE">
      <w:pPr>
        <w:spacing w:after="0"/>
        <w:jc w:val="both"/>
        <w:rPr>
          <w:rFonts w:asciiTheme="majorHAnsi" w:hAnsiTheme="majorHAnsi"/>
          <w:sz w:val="28"/>
          <w:szCs w:val="28"/>
        </w:rPr>
      </w:pPr>
    </w:p>
    <w:p w14:paraId="73985947" w14:textId="77777777" w:rsidR="00FB1180" w:rsidRPr="00200825" w:rsidRDefault="00FB1180" w:rsidP="00CB6BEE">
      <w:pPr>
        <w:spacing w:after="0"/>
        <w:jc w:val="both"/>
        <w:rPr>
          <w:rFonts w:asciiTheme="majorHAnsi" w:hAnsiTheme="majorHAnsi"/>
          <w:sz w:val="28"/>
          <w:szCs w:val="28"/>
        </w:rPr>
      </w:pPr>
    </w:p>
    <w:p w14:paraId="36A5E909" w14:textId="77777777" w:rsidR="00FB1180" w:rsidRPr="00200825" w:rsidRDefault="00FB1180" w:rsidP="00CB6BEE">
      <w:pPr>
        <w:spacing w:after="0"/>
        <w:jc w:val="both"/>
        <w:rPr>
          <w:rFonts w:asciiTheme="majorHAnsi" w:hAnsiTheme="majorHAnsi"/>
          <w:sz w:val="28"/>
          <w:szCs w:val="28"/>
        </w:rPr>
      </w:pPr>
    </w:p>
    <w:p w14:paraId="15E9DC02" w14:textId="77777777" w:rsidR="00FB1180" w:rsidRPr="00200825" w:rsidRDefault="00FB1180" w:rsidP="00CB6BEE">
      <w:pPr>
        <w:spacing w:after="0"/>
        <w:jc w:val="both"/>
        <w:rPr>
          <w:rFonts w:asciiTheme="majorHAnsi" w:hAnsiTheme="majorHAnsi"/>
          <w:sz w:val="28"/>
          <w:szCs w:val="28"/>
        </w:rPr>
      </w:pPr>
    </w:p>
    <w:p w14:paraId="47A9F51E" w14:textId="77777777" w:rsidR="00FB1180" w:rsidRPr="00200825" w:rsidRDefault="00FB1180" w:rsidP="00CB6BEE">
      <w:pPr>
        <w:spacing w:after="0"/>
        <w:jc w:val="both"/>
        <w:rPr>
          <w:rFonts w:asciiTheme="majorHAnsi" w:hAnsiTheme="majorHAnsi"/>
          <w:sz w:val="28"/>
          <w:szCs w:val="28"/>
        </w:rPr>
      </w:pPr>
    </w:p>
    <w:p w14:paraId="5E2D692C" w14:textId="77777777" w:rsidR="00FB1180" w:rsidRPr="00200825" w:rsidRDefault="00FB1180" w:rsidP="00CB6BEE">
      <w:pPr>
        <w:spacing w:after="0"/>
        <w:jc w:val="both"/>
        <w:rPr>
          <w:rFonts w:asciiTheme="majorHAnsi" w:hAnsiTheme="majorHAnsi"/>
          <w:sz w:val="28"/>
          <w:szCs w:val="28"/>
        </w:rPr>
      </w:pPr>
    </w:p>
    <w:p w14:paraId="0F289EB2" w14:textId="77777777" w:rsidR="00FB1180" w:rsidRPr="00200825" w:rsidRDefault="00FB1180" w:rsidP="00CB6BEE">
      <w:pPr>
        <w:spacing w:after="0"/>
        <w:jc w:val="both"/>
        <w:rPr>
          <w:rFonts w:asciiTheme="majorHAnsi" w:hAnsiTheme="majorHAnsi"/>
          <w:sz w:val="28"/>
          <w:szCs w:val="28"/>
        </w:rPr>
      </w:pPr>
    </w:p>
    <w:p w14:paraId="245CC0BF" w14:textId="77777777" w:rsidR="00FB1180" w:rsidRPr="00200825" w:rsidRDefault="00FB1180" w:rsidP="00CB6BEE">
      <w:pPr>
        <w:spacing w:after="0"/>
        <w:jc w:val="both"/>
        <w:rPr>
          <w:rFonts w:asciiTheme="majorHAnsi" w:hAnsiTheme="majorHAnsi"/>
          <w:sz w:val="28"/>
          <w:szCs w:val="28"/>
        </w:rPr>
      </w:pPr>
    </w:p>
    <w:p w14:paraId="155B2E10" w14:textId="77777777" w:rsidR="00FB1180" w:rsidRPr="00200825" w:rsidRDefault="00FB1180" w:rsidP="00CB6BEE">
      <w:pPr>
        <w:spacing w:after="0"/>
        <w:jc w:val="both"/>
        <w:rPr>
          <w:rFonts w:asciiTheme="majorHAnsi" w:hAnsiTheme="majorHAnsi"/>
          <w:sz w:val="28"/>
          <w:szCs w:val="28"/>
        </w:rPr>
      </w:pPr>
    </w:p>
    <w:p w14:paraId="6602EB02" w14:textId="77777777" w:rsidR="00FB1180" w:rsidRPr="00200825" w:rsidRDefault="00FB1180" w:rsidP="00CB6BEE">
      <w:pPr>
        <w:spacing w:after="0"/>
        <w:jc w:val="both"/>
        <w:rPr>
          <w:rFonts w:asciiTheme="majorHAnsi" w:hAnsiTheme="majorHAnsi"/>
          <w:sz w:val="28"/>
          <w:szCs w:val="28"/>
        </w:rPr>
      </w:pPr>
    </w:p>
    <w:p w14:paraId="18FEABB5" w14:textId="77777777" w:rsidR="00AE494E" w:rsidRPr="00200825" w:rsidRDefault="00AE494E" w:rsidP="00CB6BEE">
      <w:pPr>
        <w:spacing w:after="0"/>
        <w:jc w:val="both"/>
        <w:rPr>
          <w:rFonts w:asciiTheme="majorHAnsi" w:hAnsiTheme="majorHAnsi"/>
          <w:sz w:val="28"/>
          <w:szCs w:val="28"/>
        </w:rPr>
      </w:pPr>
    </w:p>
    <w:p w14:paraId="7D0DFB84" w14:textId="77777777" w:rsidR="00FB1180" w:rsidRPr="00200825" w:rsidRDefault="00FB1180" w:rsidP="00CB6BEE">
      <w:pPr>
        <w:spacing w:after="0"/>
        <w:jc w:val="both"/>
        <w:rPr>
          <w:rFonts w:asciiTheme="majorHAnsi" w:hAnsiTheme="majorHAnsi"/>
          <w:sz w:val="28"/>
          <w:szCs w:val="28"/>
        </w:rPr>
      </w:pPr>
    </w:p>
    <w:p w14:paraId="1C770312" w14:textId="77777777" w:rsidR="00FB1180" w:rsidRPr="00200825" w:rsidRDefault="00FB1180" w:rsidP="00CB6BEE">
      <w:pPr>
        <w:spacing w:after="0"/>
        <w:jc w:val="both"/>
        <w:rPr>
          <w:rFonts w:asciiTheme="majorHAnsi" w:hAnsiTheme="majorHAnsi"/>
          <w:sz w:val="28"/>
          <w:szCs w:val="28"/>
        </w:rPr>
      </w:pPr>
    </w:p>
    <w:p w14:paraId="1CBD96CB" w14:textId="77777777" w:rsidR="00FB1180" w:rsidRPr="00200825" w:rsidRDefault="00FB1180" w:rsidP="00CB6BEE">
      <w:pPr>
        <w:spacing w:after="0"/>
        <w:jc w:val="both"/>
        <w:rPr>
          <w:rFonts w:asciiTheme="majorHAnsi" w:hAnsiTheme="majorHAnsi"/>
          <w:b/>
          <w:sz w:val="28"/>
          <w:szCs w:val="28"/>
        </w:rPr>
      </w:pPr>
      <w:r w:rsidRPr="00200825">
        <w:rPr>
          <w:rFonts w:asciiTheme="majorHAnsi" w:hAnsiTheme="majorHAnsi"/>
          <w:b/>
          <w:sz w:val="28"/>
          <w:szCs w:val="28"/>
        </w:rPr>
        <w:t>ЗМІСТ</w:t>
      </w:r>
    </w:p>
    <w:p w14:paraId="304EA7A3" w14:textId="77777777" w:rsidR="00C114D9" w:rsidRPr="00200825" w:rsidRDefault="00C114D9" w:rsidP="00CB6BEE">
      <w:pPr>
        <w:spacing w:after="0"/>
        <w:jc w:val="both"/>
        <w:rPr>
          <w:rFonts w:asciiTheme="majorHAnsi" w:hAnsiTheme="majorHAnsi"/>
          <w:b/>
          <w:sz w:val="28"/>
          <w:szCs w:val="28"/>
        </w:rPr>
      </w:pPr>
    </w:p>
    <w:p w14:paraId="5481F367" w14:textId="77777777" w:rsidR="00FB1180" w:rsidRPr="00200825" w:rsidRDefault="00C616FD" w:rsidP="00CB6BEE">
      <w:pPr>
        <w:spacing w:after="0"/>
        <w:jc w:val="both"/>
        <w:rPr>
          <w:rFonts w:asciiTheme="majorHAnsi" w:hAnsiTheme="majorHAnsi"/>
          <w:b/>
          <w:sz w:val="28"/>
          <w:szCs w:val="28"/>
        </w:rPr>
      </w:pPr>
      <w:r w:rsidRPr="00200825">
        <w:rPr>
          <w:rFonts w:asciiTheme="majorHAnsi" w:hAnsiTheme="majorHAnsi"/>
          <w:b/>
          <w:sz w:val="28"/>
          <w:szCs w:val="28"/>
        </w:rPr>
        <w:t>ПЕРЕДМОВА</w:t>
      </w:r>
    </w:p>
    <w:p w14:paraId="1863926F" w14:textId="77777777" w:rsidR="00C114D9" w:rsidRPr="00200825" w:rsidRDefault="00C114D9" w:rsidP="00CB6BEE">
      <w:pPr>
        <w:spacing w:after="0"/>
        <w:jc w:val="both"/>
        <w:rPr>
          <w:rFonts w:asciiTheme="majorHAnsi" w:hAnsiTheme="majorHAnsi"/>
          <w:b/>
          <w:sz w:val="28"/>
          <w:szCs w:val="28"/>
        </w:rPr>
      </w:pPr>
    </w:p>
    <w:p w14:paraId="3EF561E6" w14:textId="77777777" w:rsidR="00FB1180" w:rsidRPr="00200825" w:rsidRDefault="00C616FD" w:rsidP="00CB6BEE">
      <w:pPr>
        <w:spacing w:after="0"/>
        <w:jc w:val="both"/>
        <w:rPr>
          <w:rFonts w:asciiTheme="majorHAnsi" w:hAnsiTheme="majorHAnsi"/>
          <w:b/>
          <w:sz w:val="28"/>
          <w:szCs w:val="28"/>
        </w:rPr>
      </w:pPr>
      <w:r w:rsidRPr="00200825">
        <w:rPr>
          <w:rFonts w:asciiTheme="majorHAnsi" w:hAnsiTheme="majorHAnsi"/>
          <w:b/>
          <w:sz w:val="28"/>
          <w:szCs w:val="28"/>
        </w:rPr>
        <w:t>МЕТА</w:t>
      </w:r>
    </w:p>
    <w:p w14:paraId="66B98985" w14:textId="77777777" w:rsidR="00C114D9" w:rsidRPr="00200825" w:rsidRDefault="00C114D9" w:rsidP="00CB6BEE">
      <w:pPr>
        <w:spacing w:after="0"/>
        <w:jc w:val="both"/>
        <w:rPr>
          <w:rFonts w:asciiTheme="majorHAnsi" w:hAnsiTheme="majorHAnsi"/>
          <w:b/>
          <w:sz w:val="28"/>
          <w:szCs w:val="28"/>
        </w:rPr>
      </w:pPr>
    </w:p>
    <w:p w14:paraId="76DDB2C4" w14:textId="77777777" w:rsidR="00FB1180" w:rsidRPr="00200825" w:rsidRDefault="00FB1180" w:rsidP="00CB6BEE">
      <w:pPr>
        <w:spacing w:after="0"/>
        <w:jc w:val="both"/>
        <w:rPr>
          <w:rFonts w:asciiTheme="majorHAnsi" w:hAnsiTheme="majorHAnsi"/>
          <w:b/>
          <w:sz w:val="28"/>
          <w:szCs w:val="28"/>
        </w:rPr>
      </w:pPr>
      <w:r w:rsidRPr="00200825">
        <w:rPr>
          <w:rFonts w:asciiTheme="majorHAnsi" w:hAnsiTheme="majorHAnsi"/>
          <w:b/>
          <w:sz w:val="28"/>
          <w:szCs w:val="28"/>
        </w:rPr>
        <w:t>АВТОРСТВО</w:t>
      </w:r>
    </w:p>
    <w:p w14:paraId="32200848" w14:textId="77777777" w:rsidR="00C114D9" w:rsidRPr="00200825" w:rsidRDefault="00C114D9" w:rsidP="00CB6BEE">
      <w:pPr>
        <w:spacing w:after="0"/>
        <w:jc w:val="both"/>
        <w:rPr>
          <w:rFonts w:asciiTheme="majorHAnsi" w:hAnsiTheme="majorHAnsi"/>
          <w:b/>
          <w:sz w:val="28"/>
          <w:szCs w:val="28"/>
        </w:rPr>
      </w:pPr>
    </w:p>
    <w:p w14:paraId="11EA8E65" w14:textId="77777777" w:rsidR="00FB1180" w:rsidRPr="00200825" w:rsidRDefault="00FB1180" w:rsidP="00CB6BEE">
      <w:pPr>
        <w:spacing w:after="0"/>
        <w:jc w:val="both"/>
        <w:rPr>
          <w:rFonts w:asciiTheme="majorHAnsi" w:hAnsiTheme="majorHAnsi"/>
          <w:b/>
          <w:sz w:val="28"/>
          <w:szCs w:val="28"/>
        </w:rPr>
      </w:pPr>
      <w:r w:rsidRPr="00200825">
        <w:rPr>
          <w:rFonts w:asciiTheme="majorHAnsi" w:hAnsiTheme="majorHAnsi"/>
          <w:b/>
          <w:sz w:val="28"/>
          <w:szCs w:val="28"/>
        </w:rPr>
        <w:t>ПРОЦЕДУРА</w:t>
      </w:r>
    </w:p>
    <w:p w14:paraId="6E65832B" w14:textId="77777777" w:rsidR="00C114D9" w:rsidRPr="00200825" w:rsidRDefault="00C114D9" w:rsidP="00CB6BEE">
      <w:pPr>
        <w:spacing w:after="0"/>
        <w:jc w:val="both"/>
        <w:rPr>
          <w:rFonts w:asciiTheme="majorHAnsi" w:hAnsiTheme="majorHAnsi"/>
          <w:b/>
          <w:sz w:val="28"/>
          <w:szCs w:val="28"/>
        </w:rPr>
      </w:pPr>
    </w:p>
    <w:p w14:paraId="4765F797" w14:textId="77777777" w:rsidR="00FB1180" w:rsidRPr="00200825" w:rsidRDefault="00FB1180" w:rsidP="00FB1180">
      <w:pPr>
        <w:pStyle w:val="a3"/>
        <w:numPr>
          <w:ilvl w:val="0"/>
          <w:numId w:val="3"/>
        </w:numPr>
        <w:spacing w:after="0"/>
        <w:jc w:val="both"/>
        <w:rPr>
          <w:rFonts w:asciiTheme="majorHAnsi" w:hAnsiTheme="majorHAnsi"/>
          <w:b/>
          <w:sz w:val="28"/>
          <w:szCs w:val="28"/>
        </w:rPr>
      </w:pPr>
      <w:r w:rsidRPr="00200825">
        <w:rPr>
          <w:rFonts w:asciiTheme="majorHAnsi" w:hAnsiTheme="majorHAnsi"/>
          <w:b/>
          <w:sz w:val="28"/>
          <w:szCs w:val="28"/>
        </w:rPr>
        <w:t>Вступ</w:t>
      </w:r>
    </w:p>
    <w:p w14:paraId="2DD83625" w14:textId="77777777" w:rsidR="00C114D9" w:rsidRPr="00200825" w:rsidRDefault="00C114D9" w:rsidP="00C114D9">
      <w:pPr>
        <w:pStyle w:val="a3"/>
        <w:spacing w:after="0"/>
        <w:jc w:val="both"/>
        <w:rPr>
          <w:rFonts w:asciiTheme="majorHAnsi" w:hAnsiTheme="majorHAnsi"/>
          <w:b/>
          <w:sz w:val="28"/>
          <w:szCs w:val="28"/>
        </w:rPr>
      </w:pPr>
    </w:p>
    <w:p w14:paraId="5AA1FE8F" w14:textId="77777777" w:rsidR="00C114D9" w:rsidRPr="00200825" w:rsidRDefault="00C114D9" w:rsidP="00FB1180">
      <w:pPr>
        <w:pStyle w:val="a3"/>
        <w:numPr>
          <w:ilvl w:val="0"/>
          <w:numId w:val="3"/>
        </w:numPr>
        <w:spacing w:after="0"/>
        <w:jc w:val="both"/>
        <w:rPr>
          <w:rFonts w:asciiTheme="majorHAnsi" w:hAnsiTheme="majorHAnsi"/>
          <w:b/>
          <w:sz w:val="28"/>
          <w:szCs w:val="28"/>
        </w:rPr>
      </w:pPr>
      <w:r w:rsidRPr="00200825">
        <w:rPr>
          <w:rFonts w:asciiTheme="majorHAnsi" w:hAnsiTheme="majorHAnsi"/>
          <w:b/>
          <w:sz w:val="28"/>
          <w:szCs w:val="28"/>
        </w:rPr>
        <w:t>Терміни та визначення</w:t>
      </w:r>
    </w:p>
    <w:p w14:paraId="13AF9AFB" w14:textId="77777777" w:rsidR="00C114D9" w:rsidRPr="00200825" w:rsidRDefault="00C114D9" w:rsidP="00C114D9">
      <w:pPr>
        <w:spacing w:after="0"/>
        <w:jc w:val="both"/>
        <w:rPr>
          <w:rFonts w:asciiTheme="majorHAnsi" w:hAnsiTheme="majorHAnsi"/>
          <w:b/>
          <w:sz w:val="28"/>
          <w:szCs w:val="28"/>
        </w:rPr>
      </w:pPr>
    </w:p>
    <w:p w14:paraId="52D9394B" w14:textId="77777777" w:rsidR="00C114D9" w:rsidRPr="00200825" w:rsidRDefault="00C114D9" w:rsidP="00C114D9">
      <w:pPr>
        <w:pStyle w:val="a3"/>
        <w:numPr>
          <w:ilvl w:val="0"/>
          <w:numId w:val="3"/>
        </w:numPr>
        <w:spacing w:after="0"/>
        <w:jc w:val="both"/>
        <w:rPr>
          <w:rFonts w:asciiTheme="majorHAnsi" w:hAnsiTheme="majorHAnsi"/>
          <w:b/>
          <w:sz w:val="28"/>
          <w:szCs w:val="28"/>
        </w:rPr>
      </w:pPr>
      <w:r w:rsidRPr="00200825">
        <w:rPr>
          <w:rFonts w:asciiTheme="majorHAnsi" w:hAnsiTheme="majorHAnsi"/>
          <w:b/>
          <w:sz w:val="28"/>
          <w:szCs w:val="28"/>
        </w:rPr>
        <w:t xml:space="preserve">Політика ILAC щодо оцінки </w:t>
      </w:r>
      <w:r w:rsidR="00FC0E75">
        <w:rPr>
          <w:rFonts w:asciiTheme="majorHAnsi" w:hAnsiTheme="majorHAnsi"/>
          <w:b/>
          <w:sz w:val="28"/>
          <w:szCs w:val="28"/>
        </w:rPr>
        <w:t xml:space="preserve">непевності </w:t>
      </w:r>
      <w:r w:rsidRPr="00200825">
        <w:rPr>
          <w:rFonts w:asciiTheme="majorHAnsi" w:hAnsiTheme="majorHAnsi"/>
          <w:b/>
          <w:sz w:val="28"/>
          <w:szCs w:val="28"/>
        </w:rPr>
        <w:t>вимірювання</w:t>
      </w:r>
    </w:p>
    <w:p w14:paraId="7277CF3B" w14:textId="77777777" w:rsidR="00C114D9" w:rsidRPr="00200825" w:rsidRDefault="00C114D9" w:rsidP="00C114D9">
      <w:pPr>
        <w:spacing w:after="0"/>
        <w:jc w:val="both"/>
        <w:rPr>
          <w:rFonts w:asciiTheme="majorHAnsi" w:hAnsiTheme="majorHAnsi"/>
          <w:b/>
          <w:sz w:val="28"/>
          <w:szCs w:val="28"/>
        </w:rPr>
      </w:pPr>
    </w:p>
    <w:p w14:paraId="7955F43B" w14:textId="77777777" w:rsidR="00C114D9" w:rsidRPr="00200825" w:rsidRDefault="00C114D9" w:rsidP="00C114D9">
      <w:pPr>
        <w:pStyle w:val="a3"/>
        <w:numPr>
          <w:ilvl w:val="0"/>
          <w:numId w:val="3"/>
        </w:numPr>
        <w:spacing w:after="0"/>
        <w:jc w:val="both"/>
        <w:rPr>
          <w:rFonts w:asciiTheme="majorHAnsi" w:hAnsiTheme="majorHAnsi"/>
          <w:b/>
          <w:sz w:val="28"/>
          <w:szCs w:val="28"/>
        </w:rPr>
      </w:pPr>
      <w:r w:rsidRPr="00200825">
        <w:rPr>
          <w:rFonts w:asciiTheme="majorHAnsi" w:hAnsiTheme="majorHAnsi"/>
          <w:b/>
          <w:sz w:val="28"/>
          <w:szCs w:val="28"/>
        </w:rPr>
        <w:t>Політика ILAC щодо сфери акредитації калібрувальних лабораторій</w:t>
      </w:r>
    </w:p>
    <w:p w14:paraId="7187678D" w14:textId="77777777" w:rsidR="00C114D9" w:rsidRPr="00200825" w:rsidRDefault="00C114D9" w:rsidP="00C114D9">
      <w:pPr>
        <w:spacing w:after="0"/>
        <w:jc w:val="both"/>
        <w:rPr>
          <w:rFonts w:asciiTheme="majorHAnsi" w:hAnsiTheme="majorHAnsi"/>
          <w:b/>
          <w:sz w:val="28"/>
          <w:szCs w:val="28"/>
        </w:rPr>
      </w:pPr>
    </w:p>
    <w:p w14:paraId="729C909E" w14:textId="77777777" w:rsidR="00C114D9" w:rsidRPr="00200825" w:rsidRDefault="00C114D9" w:rsidP="00C114D9">
      <w:pPr>
        <w:pStyle w:val="a3"/>
        <w:numPr>
          <w:ilvl w:val="0"/>
          <w:numId w:val="3"/>
        </w:numPr>
        <w:spacing w:after="0"/>
        <w:jc w:val="both"/>
        <w:rPr>
          <w:rFonts w:asciiTheme="majorHAnsi" w:hAnsiTheme="majorHAnsi"/>
          <w:b/>
          <w:sz w:val="28"/>
          <w:szCs w:val="28"/>
        </w:rPr>
      </w:pPr>
      <w:r w:rsidRPr="00200825">
        <w:rPr>
          <w:rFonts w:asciiTheme="majorHAnsi" w:hAnsiTheme="majorHAnsi"/>
          <w:b/>
          <w:sz w:val="28"/>
          <w:szCs w:val="28"/>
        </w:rPr>
        <w:t>Політика IL</w:t>
      </w:r>
      <w:r w:rsidR="0070685E">
        <w:rPr>
          <w:rFonts w:asciiTheme="majorHAnsi" w:hAnsiTheme="majorHAnsi"/>
          <w:b/>
          <w:sz w:val="28"/>
          <w:szCs w:val="28"/>
        </w:rPr>
        <w:t xml:space="preserve">AC щодо заяв про непевність </w:t>
      </w:r>
      <w:r w:rsidRPr="00200825">
        <w:rPr>
          <w:rFonts w:asciiTheme="majorHAnsi" w:hAnsiTheme="majorHAnsi"/>
          <w:b/>
          <w:sz w:val="28"/>
          <w:szCs w:val="28"/>
        </w:rPr>
        <w:t>вимірювання у сертифікатах калібрування</w:t>
      </w:r>
    </w:p>
    <w:p w14:paraId="7B64FC19" w14:textId="77777777" w:rsidR="00C114D9" w:rsidRPr="00200825" w:rsidRDefault="00C114D9" w:rsidP="00C114D9">
      <w:pPr>
        <w:pStyle w:val="a3"/>
        <w:rPr>
          <w:rFonts w:asciiTheme="majorHAnsi" w:hAnsiTheme="majorHAnsi"/>
          <w:b/>
          <w:sz w:val="28"/>
          <w:szCs w:val="28"/>
        </w:rPr>
      </w:pPr>
    </w:p>
    <w:p w14:paraId="6C285147" w14:textId="77777777" w:rsidR="00C114D9" w:rsidRPr="00200825" w:rsidRDefault="00C114D9" w:rsidP="00C114D9">
      <w:pPr>
        <w:pStyle w:val="a3"/>
        <w:numPr>
          <w:ilvl w:val="0"/>
          <w:numId w:val="3"/>
        </w:numPr>
        <w:spacing w:after="0"/>
        <w:jc w:val="both"/>
        <w:rPr>
          <w:rFonts w:asciiTheme="majorHAnsi" w:hAnsiTheme="majorHAnsi"/>
          <w:b/>
          <w:sz w:val="28"/>
          <w:szCs w:val="28"/>
        </w:rPr>
      </w:pPr>
      <w:r w:rsidRPr="00200825">
        <w:rPr>
          <w:rFonts w:asciiTheme="majorHAnsi" w:hAnsiTheme="majorHAnsi"/>
          <w:b/>
          <w:sz w:val="28"/>
          <w:szCs w:val="28"/>
        </w:rPr>
        <w:t>Посилання</w:t>
      </w:r>
    </w:p>
    <w:p w14:paraId="61C2F6EB" w14:textId="77777777" w:rsidR="00C114D9" w:rsidRPr="00200825" w:rsidRDefault="00C114D9" w:rsidP="00C114D9">
      <w:pPr>
        <w:pStyle w:val="a3"/>
        <w:rPr>
          <w:rFonts w:asciiTheme="majorHAnsi" w:hAnsiTheme="majorHAnsi"/>
          <w:b/>
          <w:sz w:val="28"/>
          <w:szCs w:val="28"/>
        </w:rPr>
      </w:pPr>
    </w:p>
    <w:p w14:paraId="0F878564" w14:textId="77777777" w:rsidR="00C114D9" w:rsidRPr="00200825" w:rsidRDefault="00C114D9" w:rsidP="00C114D9">
      <w:pPr>
        <w:pStyle w:val="a3"/>
        <w:numPr>
          <w:ilvl w:val="0"/>
          <w:numId w:val="3"/>
        </w:numPr>
        <w:spacing w:after="0"/>
        <w:jc w:val="both"/>
        <w:rPr>
          <w:rFonts w:asciiTheme="majorHAnsi" w:hAnsiTheme="majorHAnsi"/>
          <w:b/>
          <w:sz w:val="28"/>
          <w:szCs w:val="28"/>
        </w:rPr>
      </w:pPr>
      <w:r w:rsidRPr="00200825">
        <w:rPr>
          <w:rFonts w:asciiTheme="majorHAnsi" w:hAnsiTheme="majorHAnsi"/>
          <w:b/>
          <w:sz w:val="28"/>
          <w:szCs w:val="28"/>
        </w:rPr>
        <w:t>Приклад</w:t>
      </w:r>
      <w:r w:rsidR="00165F67" w:rsidRPr="00200825">
        <w:rPr>
          <w:rFonts w:asciiTheme="majorHAnsi" w:hAnsiTheme="majorHAnsi"/>
          <w:b/>
          <w:sz w:val="28"/>
          <w:szCs w:val="28"/>
        </w:rPr>
        <w:t xml:space="preserve"> керівних </w:t>
      </w:r>
      <w:r w:rsidRPr="00200825">
        <w:rPr>
          <w:rFonts w:asciiTheme="majorHAnsi" w:hAnsiTheme="majorHAnsi"/>
          <w:b/>
          <w:sz w:val="28"/>
          <w:szCs w:val="28"/>
        </w:rPr>
        <w:t>документів</w:t>
      </w:r>
    </w:p>
    <w:p w14:paraId="5D151602" w14:textId="77777777" w:rsidR="00C114D9" w:rsidRPr="00200825" w:rsidRDefault="00C114D9" w:rsidP="00C114D9">
      <w:pPr>
        <w:pStyle w:val="a3"/>
        <w:rPr>
          <w:rFonts w:asciiTheme="majorHAnsi" w:hAnsiTheme="majorHAnsi"/>
          <w:b/>
          <w:sz w:val="28"/>
          <w:szCs w:val="28"/>
        </w:rPr>
      </w:pPr>
    </w:p>
    <w:p w14:paraId="0CFA2BE9" w14:textId="77777777" w:rsidR="00C114D9" w:rsidRPr="00200825" w:rsidRDefault="00C114D9" w:rsidP="00C114D9">
      <w:pPr>
        <w:spacing w:after="0"/>
        <w:jc w:val="both"/>
        <w:rPr>
          <w:rFonts w:asciiTheme="majorHAnsi" w:hAnsiTheme="majorHAnsi"/>
          <w:b/>
          <w:sz w:val="28"/>
          <w:szCs w:val="28"/>
        </w:rPr>
      </w:pPr>
      <w:r w:rsidRPr="00200825">
        <w:rPr>
          <w:rFonts w:asciiTheme="majorHAnsi" w:hAnsiTheme="majorHAnsi"/>
          <w:b/>
          <w:sz w:val="28"/>
          <w:szCs w:val="28"/>
        </w:rPr>
        <w:t>ДОДАТОК А</w:t>
      </w:r>
    </w:p>
    <w:p w14:paraId="747353AC" w14:textId="77777777" w:rsidR="00C114D9" w:rsidRPr="00200825" w:rsidRDefault="00C114D9" w:rsidP="00C114D9">
      <w:pPr>
        <w:spacing w:after="0"/>
        <w:jc w:val="both"/>
        <w:rPr>
          <w:rFonts w:asciiTheme="majorHAnsi" w:hAnsiTheme="majorHAnsi"/>
          <w:b/>
          <w:sz w:val="28"/>
          <w:szCs w:val="28"/>
        </w:rPr>
      </w:pPr>
    </w:p>
    <w:p w14:paraId="075DD903" w14:textId="77777777" w:rsidR="00C114D9" w:rsidRPr="00200825" w:rsidRDefault="00C114D9" w:rsidP="00C114D9">
      <w:pPr>
        <w:spacing w:after="0"/>
        <w:jc w:val="both"/>
        <w:rPr>
          <w:rFonts w:asciiTheme="majorHAnsi" w:hAnsiTheme="majorHAnsi"/>
          <w:b/>
          <w:sz w:val="28"/>
          <w:szCs w:val="28"/>
        </w:rPr>
      </w:pPr>
      <w:r w:rsidRPr="00200825">
        <w:rPr>
          <w:rFonts w:asciiTheme="majorHAnsi" w:hAnsiTheme="majorHAnsi"/>
          <w:b/>
          <w:sz w:val="28"/>
          <w:szCs w:val="28"/>
        </w:rPr>
        <w:t>ДОДАТОК В</w:t>
      </w:r>
    </w:p>
    <w:p w14:paraId="365AEE61" w14:textId="77777777" w:rsidR="00C616FD" w:rsidRPr="00200825" w:rsidRDefault="00C616FD" w:rsidP="00C114D9">
      <w:pPr>
        <w:spacing w:after="0"/>
        <w:jc w:val="both"/>
        <w:rPr>
          <w:rFonts w:asciiTheme="majorHAnsi" w:hAnsiTheme="majorHAnsi"/>
          <w:b/>
          <w:sz w:val="28"/>
          <w:szCs w:val="28"/>
        </w:rPr>
      </w:pPr>
    </w:p>
    <w:p w14:paraId="5977D21C" w14:textId="77777777" w:rsidR="00C616FD" w:rsidRPr="00200825" w:rsidRDefault="00C616FD" w:rsidP="00C114D9">
      <w:pPr>
        <w:spacing w:after="0"/>
        <w:jc w:val="both"/>
        <w:rPr>
          <w:rFonts w:asciiTheme="majorHAnsi" w:hAnsiTheme="majorHAnsi"/>
          <w:b/>
          <w:sz w:val="28"/>
          <w:szCs w:val="28"/>
        </w:rPr>
      </w:pPr>
    </w:p>
    <w:p w14:paraId="64C451F6" w14:textId="77777777" w:rsidR="00C616FD" w:rsidRPr="00200825" w:rsidRDefault="00C616FD" w:rsidP="00C114D9">
      <w:pPr>
        <w:spacing w:after="0"/>
        <w:jc w:val="both"/>
        <w:rPr>
          <w:rFonts w:asciiTheme="majorHAnsi" w:hAnsiTheme="majorHAnsi"/>
          <w:b/>
          <w:sz w:val="28"/>
          <w:szCs w:val="28"/>
        </w:rPr>
      </w:pPr>
    </w:p>
    <w:p w14:paraId="5A8949BE" w14:textId="77777777" w:rsidR="00C616FD" w:rsidRPr="00200825" w:rsidRDefault="00C616FD" w:rsidP="00C114D9">
      <w:pPr>
        <w:spacing w:after="0"/>
        <w:jc w:val="both"/>
        <w:rPr>
          <w:rFonts w:asciiTheme="majorHAnsi" w:hAnsiTheme="majorHAnsi"/>
          <w:b/>
          <w:sz w:val="28"/>
          <w:szCs w:val="28"/>
        </w:rPr>
      </w:pPr>
    </w:p>
    <w:p w14:paraId="5FDEF622" w14:textId="77777777" w:rsidR="00C616FD" w:rsidRPr="00200825" w:rsidRDefault="00C616FD" w:rsidP="00C114D9">
      <w:pPr>
        <w:spacing w:after="0"/>
        <w:jc w:val="both"/>
        <w:rPr>
          <w:rFonts w:asciiTheme="majorHAnsi" w:hAnsiTheme="majorHAnsi"/>
          <w:b/>
          <w:sz w:val="28"/>
          <w:szCs w:val="28"/>
        </w:rPr>
      </w:pPr>
    </w:p>
    <w:p w14:paraId="079556B7" w14:textId="77777777" w:rsidR="00C616FD" w:rsidRPr="00200825" w:rsidRDefault="00C616FD" w:rsidP="00C114D9">
      <w:pPr>
        <w:spacing w:after="0"/>
        <w:jc w:val="both"/>
        <w:rPr>
          <w:rFonts w:asciiTheme="majorHAnsi" w:hAnsiTheme="majorHAnsi"/>
          <w:b/>
          <w:sz w:val="28"/>
          <w:szCs w:val="28"/>
        </w:rPr>
      </w:pPr>
    </w:p>
    <w:p w14:paraId="072C4E3A" w14:textId="77777777" w:rsidR="00C616FD" w:rsidRPr="00200825" w:rsidRDefault="00C616FD" w:rsidP="00C114D9">
      <w:pPr>
        <w:spacing w:after="0"/>
        <w:jc w:val="both"/>
        <w:rPr>
          <w:rFonts w:asciiTheme="majorHAnsi" w:hAnsiTheme="majorHAnsi"/>
          <w:b/>
          <w:sz w:val="28"/>
          <w:szCs w:val="28"/>
        </w:rPr>
      </w:pPr>
    </w:p>
    <w:p w14:paraId="49C1ACD5" w14:textId="77777777" w:rsidR="00C616FD" w:rsidRPr="00200825" w:rsidRDefault="00C616FD" w:rsidP="00C114D9">
      <w:pPr>
        <w:spacing w:after="0"/>
        <w:jc w:val="both"/>
        <w:rPr>
          <w:rFonts w:asciiTheme="majorHAnsi" w:hAnsiTheme="majorHAnsi"/>
          <w:b/>
          <w:sz w:val="28"/>
          <w:szCs w:val="28"/>
        </w:rPr>
      </w:pPr>
    </w:p>
    <w:p w14:paraId="26105633" w14:textId="77777777" w:rsidR="00C616FD" w:rsidRPr="00200825" w:rsidRDefault="00C616FD" w:rsidP="00C114D9">
      <w:pPr>
        <w:spacing w:after="0"/>
        <w:jc w:val="both"/>
        <w:rPr>
          <w:rFonts w:asciiTheme="majorHAnsi" w:hAnsiTheme="majorHAnsi"/>
          <w:b/>
          <w:sz w:val="28"/>
          <w:szCs w:val="28"/>
        </w:rPr>
      </w:pPr>
    </w:p>
    <w:p w14:paraId="5BC7AECE" w14:textId="77777777" w:rsidR="00C616FD" w:rsidRPr="00200825" w:rsidRDefault="00C616FD" w:rsidP="00C114D9">
      <w:pPr>
        <w:spacing w:after="0"/>
        <w:jc w:val="both"/>
        <w:rPr>
          <w:rFonts w:asciiTheme="majorHAnsi" w:hAnsiTheme="majorHAnsi"/>
          <w:b/>
          <w:sz w:val="28"/>
          <w:szCs w:val="28"/>
        </w:rPr>
      </w:pPr>
    </w:p>
    <w:p w14:paraId="1689EB3B" w14:textId="77777777" w:rsidR="00C616FD" w:rsidRPr="00200825" w:rsidRDefault="00C616FD" w:rsidP="00C114D9">
      <w:pPr>
        <w:spacing w:after="0"/>
        <w:jc w:val="both"/>
        <w:rPr>
          <w:rFonts w:asciiTheme="majorHAnsi" w:hAnsiTheme="majorHAnsi"/>
          <w:b/>
          <w:sz w:val="28"/>
          <w:szCs w:val="28"/>
        </w:rPr>
      </w:pPr>
    </w:p>
    <w:p w14:paraId="4411FA78" w14:textId="77777777" w:rsidR="00C616FD" w:rsidRPr="00200825" w:rsidRDefault="00C616FD" w:rsidP="00C616FD">
      <w:pPr>
        <w:spacing w:after="0"/>
        <w:jc w:val="both"/>
        <w:rPr>
          <w:rFonts w:asciiTheme="majorHAnsi" w:hAnsiTheme="majorHAnsi"/>
          <w:b/>
          <w:sz w:val="28"/>
          <w:szCs w:val="28"/>
        </w:rPr>
      </w:pPr>
      <w:r w:rsidRPr="00200825">
        <w:rPr>
          <w:rFonts w:asciiTheme="majorHAnsi" w:hAnsiTheme="majorHAnsi"/>
          <w:b/>
          <w:sz w:val="28"/>
          <w:szCs w:val="28"/>
        </w:rPr>
        <w:t>ПЕРЕДМОВА</w:t>
      </w:r>
    </w:p>
    <w:p w14:paraId="00C2A4BD" w14:textId="77777777" w:rsidR="00D308C6" w:rsidRPr="00200825" w:rsidRDefault="00D308C6" w:rsidP="00C616FD">
      <w:pPr>
        <w:spacing w:after="0"/>
        <w:jc w:val="both"/>
        <w:rPr>
          <w:rFonts w:asciiTheme="majorHAnsi" w:hAnsiTheme="majorHAnsi"/>
          <w:b/>
          <w:sz w:val="28"/>
          <w:szCs w:val="28"/>
        </w:rPr>
      </w:pPr>
    </w:p>
    <w:p w14:paraId="4636A3A7" w14:textId="77777777" w:rsidR="00C616FD" w:rsidRPr="00200825" w:rsidRDefault="00343107" w:rsidP="00CB6BEE">
      <w:pPr>
        <w:spacing w:after="0"/>
        <w:jc w:val="both"/>
        <w:rPr>
          <w:rFonts w:asciiTheme="majorHAnsi" w:hAnsiTheme="majorHAnsi"/>
          <w:b/>
          <w:sz w:val="28"/>
          <w:szCs w:val="28"/>
        </w:rPr>
      </w:pPr>
      <w:r w:rsidRPr="00200825">
        <w:rPr>
          <w:rFonts w:asciiTheme="majorHAnsi" w:hAnsiTheme="majorHAnsi"/>
          <w:sz w:val="28"/>
          <w:szCs w:val="28"/>
        </w:rPr>
        <w:t xml:space="preserve">У 1999 р. </w:t>
      </w:r>
      <w:r w:rsidR="004C14F6" w:rsidRPr="00200825">
        <w:rPr>
          <w:rFonts w:asciiTheme="majorHAnsi" w:hAnsiTheme="majorHAnsi"/>
          <w:sz w:val="28"/>
          <w:szCs w:val="28"/>
        </w:rPr>
        <w:t xml:space="preserve">ILAC </w:t>
      </w:r>
      <w:r w:rsidR="00D308C6" w:rsidRPr="00200825">
        <w:rPr>
          <w:rFonts w:asciiTheme="majorHAnsi" w:hAnsiTheme="majorHAnsi"/>
          <w:sz w:val="28"/>
          <w:szCs w:val="28"/>
        </w:rPr>
        <w:t>на своїй третій зустрічі Генеральної асамблеї в Ріо</w:t>
      </w:r>
      <w:r w:rsidRPr="00200825">
        <w:rPr>
          <w:rFonts w:asciiTheme="majorHAnsi" w:hAnsiTheme="majorHAnsi"/>
          <w:sz w:val="28"/>
          <w:szCs w:val="28"/>
        </w:rPr>
        <w:t xml:space="preserve">-де-Жанейро  </w:t>
      </w:r>
      <w:r w:rsidR="003B7618" w:rsidRPr="00200825">
        <w:rPr>
          <w:rFonts w:asciiTheme="majorHAnsi" w:hAnsiTheme="majorHAnsi"/>
          <w:sz w:val="28"/>
          <w:szCs w:val="28"/>
        </w:rPr>
        <w:t>с</w:t>
      </w:r>
      <w:r w:rsidRPr="00200825">
        <w:rPr>
          <w:rFonts w:asciiTheme="majorHAnsi" w:hAnsiTheme="majorHAnsi"/>
          <w:sz w:val="28"/>
          <w:szCs w:val="28"/>
        </w:rPr>
        <w:t xml:space="preserve">хвалив резолюцію щодо розробки </w:t>
      </w:r>
      <w:r w:rsidR="00D308C6" w:rsidRPr="00200825">
        <w:rPr>
          <w:rFonts w:asciiTheme="majorHAnsi" w:hAnsiTheme="majorHAnsi"/>
          <w:sz w:val="28"/>
          <w:szCs w:val="28"/>
        </w:rPr>
        <w:t>критерії</w:t>
      </w:r>
      <w:r w:rsidRPr="00200825">
        <w:rPr>
          <w:rFonts w:asciiTheme="majorHAnsi" w:hAnsiTheme="majorHAnsi"/>
          <w:sz w:val="28"/>
          <w:szCs w:val="28"/>
        </w:rPr>
        <w:t>в</w:t>
      </w:r>
      <w:r w:rsidR="00D308C6" w:rsidRPr="00200825">
        <w:rPr>
          <w:rFonts w:asciiTheme="majorHAnsi" w:hAnsiTheme="majorHAnsi"/>
          <w:sz w:val="28"/>
          <w:szCs w:val="28"/>
        </w:rPr>
        <w:t xml:space="preserve"> визначення </w:t>
      </w:r>
      <w:r w:rsidR="00FC0E75">
        <w:rPr>
          <w:rFonts w:asciiTheme="majorHAnsi" w:hAnsiTheme="majorHAnsi"/>
          <w:sz w:val="28"/>
          <w:szCs w:val="28"/>
        </w:rPr>
        <w:t>непевності</w:t>
      </w:r>
      <w:r w:rsidRPr="00200825">
        <w:rPr>
          <w:rFonts w:asciiTheme="majorHAnsi" w:hAnsiTheme="majorHAnsi"/>
          <w:sz w:val="28"/>
          <w:szCs w:val="28"/>
        </w:rPr>
        <w:t xml:space="preserve"> вимірювання (див. нижче)* з </w:t>
      </w:r>
      <w:r w:rsidR="004C14F6" w:rsidRPr="00200825">
        <w:rPr>
          <w:rFonts w:asciiTheme="majorHAnsi" w:hAnsiTheme="majorHAnsi"/>
          <w:sz w:val="28"/>
          <w:szCs w:val="28"/>
        </w:rPr>
        <w:t xml:space="preserve">метою посилення гармонізації у вираженні </w:t>
      </w:r>
      <w:r w:rsidR="00FC0E75">
        <w:rPr>
          <w:rFonts w:asciiTheme="majorHAnsi" w:hAnsiTheme="majorHAnsi"/>
          <w:sz w:val="28"/>
          <w:szCs w:val="28"/>
        </w:rPr>
        <w:t>непевності</w:t>
      </w:r>
      <w:r w:rsidR="004C14F6" w:rsidRPr="00200825">
        <w:rPr>
          <w:rFonts w:asciiTheme="majorHAnsi" w:hAnsiTheme="majorHAnsi"/>
          <w:sz w:val="28"/>
          <w:szCs w:val="28"/>
        </w:rPr>
        <w:t xml:space="preserve"> вимірювання у сертифікатах калібрування та в сферах акредитації калібрувальних лабораторій</w:t>
      </w:r>
      <w:r w:rsidRPr="00200825">
        <w:rPr>
          <w:rFonts w:asciiTheme="majorHAnsi" w:hAnsiTheme="majorHAnsi"/>
          <w:sz w:val="28"/>
          <w:szCs w:val="28"/>
        </w:rPr>
        <w:t>.</w:t>
      </w:r>
      <w:r w:rsidR="004C14F6" w:rsidRPr="00200825">
        <w:rPr>
          <w:rFonts w:asciiTheme="majorHAnsi" w:hAnsiTheme="majorHAnsi"/>
          <w:sz w:val="28"/>
          <w:szCs w:val="28"/>
        </w:rPr>
        <w:t xml:space="preserve"> </w:t>
      </w:r>
      <w:r w:rsidR="004E29E3" w:rsidRPr="00200825">
        <w:rPr>
          <w:rFonts w:asciiTheme="majorHAnsi" w:hAnsiTheme="majorHAnsi"/>
          <w:sz w:val="28"/>
          <w:szCs w:val="28"/>
        </w:rPr>
        <w:t xml:space="preserve">Відтоді члени ILAC імплементували документи про </w:t>
      </w:r>
      <w:r w:rsidR="0070685E">
        <w:rPr>
          <w:rFonts w:asciiTheme="majorHAnsi" w:hAnsiTheme="majorHAnsi"/>
          <w:sz w:val="28"/>
          <w:szCs w:val="28"/>
        </w:rPr>
        <w:t>непевність</w:t>
      </w:r>
      <w:r w:rsidR="003B7618" w:rsidRPr="00200825">
        <w:rPr>
          <w:rFonts w:asciiTheme="majorHAnsi" w:hAnsiTheme="majorHAnsi"/>
          <w:sz w:val="28"/>
          <w:szCs w:val="28"/>
        </w:rPr>
        <w:t xml:space="preserve"> вимірювання на основі Настанови</w:t>
      </w:r>
      <w:r w:rsidR="004E29E3" w:rsidRPr="00200825">
        <w:rPr>
          <w:rFonts w:asciiTheme="majorHAnsi" w:hAnsiTheme="majorHAnsi"/>
          <w:sz w:val="28"/>
          <w:szCs w:val="28"/>
        </w:rPr>
        <w:t xml:space="preserve"> щодо  подання </w:t>
      </w:r>
      <w:r w:rsidR="00FC0E75">
        <w:rPr>
          <w:rFonts w:asciiTheme="majorHAnsi" w:hAnsiTheme="majorHAnsi"/>
          <w:sz w:val="28"/>
          <w:szCs w:val="28"/>
        </w:rPr>
        <w:t>непевності</w:t>
      </w:r>
      <w:r w:rsidR="004E29E3" w:rsidRPr="00200825">
        <w:rPr>
          <w:rFonts w:asciiTheme="majorHAnsi" w:hAnsiTheme="majorHAnsi"/>
          <w:sz w:val="28"/>
          <w:szCs w:val="28"/>
        </w:rPr>
        <w:t xml:space="preserve"> у вимірюванні (GUM).</w:t>
      </w:r>
      <w:r w:rsidR="00FE0A85" w:rsidRPr="00200825">
        <w:rPr>
          <w:rFonts w:asciiTheme="majorHAnsi" w:hAnsiTheme="majorHAnsi"/>
          <w:sz w:val="28"/>
          <w:szCs w:val="28"/>
        </w:rPr>
        <w:t xml:space="preserve"> ILAC і Міжнародне бюро мір і ваг (BIPM) підписали Меморандум про взаєморозуміння (MOU) і видали спільні декларації, спрямовані на співпрацю з різних питань.</w:t>
      </w:r>
      <w:r w:rsidR="005014D3" w:rsidRPr="00200825">
        <w:rPr>
          <w:rFonts w:asciiTheme="majorHAnsi" w:hAnsiTheme="majorHAnsi"/>
          <w:sz w:val="28"/>
          <w:szCs w:val="28"/>
        </w:rPr>
        <w:t xml:space="preserve"> В останні роки ILAC і BIPM погодилися узгодити термінологію, а саме</w:t>
      </w:r>
      <w:r w:rsidR="00BF392E" w:rsidRPr="00200825">
        <w:rPr>
          <w:rFonts w:asciiTheme="majorHAnsi" w:hAnsiTheme="majorHAnsi"/>
          <w:sz w:val="28"/>
          <w:szCs w:val="28"/>
        </w:rPr>
        <w:t>: «Найкраща вимірювальна</w:t>
      </w:r>
      <w:r w:rsidR="005014D3" w:rsidRPr="00200825">
        <w:rPr>
          <w:rFonts w:asciiTheme="majorHAnsi" w:hAnsiTheme="majorHAnsi"/>
          <w:sz w:val="28"/>
          <w:szCs w:val="28"/>
        </w:rPr>
        <w:t xml:space="preserve"> можливість</w:t>
      </w:r>
      <w:r w:rsidRPr="00200825">
        <w:rPr>
          <w:rFonts w:asciiTheme="majorHAnsi" w:hAnsiTheme="majorHAnsi"/>
          <w:sz w:val="28"/>
          <w:szCs w:val="28"/>
        </w:rPr>
        <w:t xml:space="preserve"> (BMC)», яку</w:t>
      </w:r>
      <w:r w:rsidR="005014D3" w:rsidRPr="00200825">
        <w:rPr>
          <w:rFonts w:asciiTheme="majorHAnsi" w:hAnsiTheme="majorHAnsi"/>
          <w:sz w:val="28"/>
          <w:szCs w:val="28"/>
        </w:rPr>
        <w:t xml:space="preserve"> раніше використо</w:t>
      </w:r>
      <w:r w:rsidRPr="00200825">
        <w:rPr>
          <w:rFonts w:asciiTheme="majorHAnsi" w:hAnsiTheme="majorHAnsi"/>
          <w:sz w:val="28"/>
          <w:szCs w:val="28"/>
        </w:rPr>
        <w:t>вували</w:t>
      </w:r>
      <w:r w:rsidR="005014D3" w:rsidRPr="00200825">
        <w:rPr>
          <w:rFonts w:asciiTheme="majorHAnsi" w:hAnsiTheme="majorHAnsi"/>
          <w:sz w:val="28"/>
          <w:szCs w:val="28"/>
        </w:rPr>
        <w:t xml:space="preserve"> в сферах акредит</w:t>
      </w:r>
      <w:r w:rsidRPr="00200825">
        <w:rPr>
          <w:rFonts w:asciiTheme="majorHAnsi" w:hAnsiTheme="majorHAnsi"/>
          <w:sz w:val="28"/>
          <w:szCs w:val="28"/>
        </w:rPr>
        <w:t>ації калібрувальних лабораторій</w:t>
      </w:r>
      <w:r w:rsidR="003B7618" w:rsidRPr="00200825">
        <w:rPr>
          <w:rFonts w:asciiTheme="majorHAnsi" w:hAnsiTheme="majorHAnsi"/>
          <w:sz w:val="28"/>
          <w:szCs w:val="28"/>
        </w:rPr>
        <w:t>, на «Калібрувальна та вимірювальна</w:t>
      </w:r>
      <w:r w:rsidR="005014D3" w:rsidRPr="00200825">
        <w:rPr>
          <w:rFonts w:asciiTheme="majorHAnsi" w:hAnsiTheme="majorHAnsi"/>
          <w:sz w:val="28"/>
          <w:szCs w:val="28"/>
        </w:rPr>
        <w:t xml:space="preserve"> </w:t>
      </w:r>
      <w:r w:rsidR="003B7618" w:rsidRPr="00200825">
        <w:rPr>
          <w:rFonts w:asciiTheme="majorHAnsi" w:hAnsiTheme="majorHAnsi"/>
          <w:sz w:val="28"/>
          <w:szCs w:val="28"/>
        </w:rPr>
        <w:t>можливість (CMC)</w:t>
      </w:r>
      <w:r w:rsidR="005014D3" w:rsidRPr="00200825">
        <w:rPr>
          <w:rFonts w:asciiTheme="majorHAnsi" w:hAnsiTheme="majorHAnsi"/>
          <w:sz w:val="28"/>
          <w:szCs w:val="28"/>
        </w:rPr>
        <w:t xml:space="preserve"> Додатку C</w:t>
      </w:r>
      <w:r w:rsidR="00215D82" w:rsidRPr="00200825">
        <w:rPr>
          <w:rFonts w:asciiTheme="majorHAnsi" w:hAnsiTheme="majorHAnsi"/>
          <w:sz w:val="28"/>
          <w:szCs w:val="28"/>
        </w:rPr>
        <w:t xml:space="preserve"> Міжнародного комітету мір і ваг </w:t>
      </w:r>
      <w:r w:rsidR="00CB78B2" w:rsidRPr="00200825">
        <w:rPr>
          <w:rFonts w:asciiTheme="majorHAnsi" w:hAnsiTheme="majorHAnsi"/>
          <w:sz w:val="28"/>
          <w:szCs w:val="28"/>
        </w:rPr>
        <w:t>(</w:t>
      </w:r>
      <w:r w:rsidR="00215D82" w:rsidRPr="00200825">
        <w:rPr>
          <w:rFonts w:asciiTheme="majorHAnsi" w:hAnsiTheme="majorHAnsi"/>
          <w:sz w:val="28"/>
          <w:szCs w:val="28"/>
          <w:lang w:val="en-US"/>
        </w:rPr>
        <w:t>CIPM</w:t>
      </w:r>
      <w:r w:rsidR="00CB78B2" w:rsidRPr="00200825">
        <w:rPr>
          <w:rFonts w:asciiTheme="majorHAnsi" w:hAnsiTheme="majorHAnsi"/>
          <w:sz w:val="28"/>
          <w:szCs w:val="28"/>
        </w:rPr>
        <w:t>)</w:t>
      </w:r>
      <w:r w:rsidR="005014D3" w:rsidRPr="00200825">
        <w:rPr>
          <w:rFonts w:asciiTheme="majorHAnsi" w:hAnsiTheme="majorHAnsi"/>
          <w:sz w:val="28"/>
          <w:szCs w:val="28"/>
        </w:rPr>
        <w:t xml:space="preserve"> Угоди</w:t>
      </w:r>
      <w:r w:rsidR="00215D82" w:rsidRPr="00200825">
        <w:rPr>
          <w:rFonts w:asciiTheme="majorHAnsi" w:hAnsiTheme="majorHAnsi"/>
          <w:sz w:val="28"/>
          <w:szCs w:val="28"/>
        </w:rPr>
        <w:t xml:space="preserve"> про взаємне визнання (MRA)</w:t>
      </w:r>
      <w:r w:rsidR="005014D3" w:rsidRPr="00200825">
        <w:rPr>
          <w:rFonts w:asciiTheme="majorHAnsi" w:hAnsiTheme="majorHAnsi"/>
          <w:sz w:val="28"/>
          <w:szCs w:val="28"/>
        </w:rPr>
        <w:t>.</w:t>
      </w:r>
    </w:p>
    <w:p w14:paraId="393111F7" w14:textId="77777777" w:rsidR="00C616FD" w:rsidRPr="00200825" w:rsidRDefault="00C616FD" w:rsidP="00CB6BEE">
      <w:pPr>
        <w:spacing w:after="0"/>
        <w:jc w:val="both"/>
        <w:rPr>
          <w:rFonts w:asciiTheme="majorHAnsi" w:hAnsiTheme="majorHAnsi"/>
          <w:b/>
          <w:sz w:val="28"/>
          <w:szCs w:val="28"/>
        </w:rPr>
      </w:pPr>
    </w:p>
    <w:p w14:paraId="2A8AFCEF" w14:textId="77777777" w:rsidR="00043250" w:rsidRPr="00200825" w:rsidRDefault="00043250" w:rsidP="00CB6BEE">
      <w:pPr>
        <w:spacing w:after="0"/>
        <w:jc w:val="both"/>
        <w:rPr>
          <w:rFonts w:asciiTheme="majorHAnsi" w:hAnsiTheme="majorHAnsi"/>
          <w:sz w:val="28"/>
          <w:szCs w:val="28"/>
        </w:rPr>
      </w:pPr>
      <w:r w:rsidRPr="00200825">
        <w:rPr>
          <w:rFonts w:asciiTheme="majorHAnsi" w:hAnsiTheme="majorHAnsi"/>
          <w:sz w:val="28"/>
          <w:szCs w:val="28"/>
        </w:rPr>
        <w:t xml:space="preserve">Цей </w:t>
      </w:r>
      <w:r w:rsidR="00EC0197" w:rsidRPr="00200825">
        <w:rPr>
          <w:rFonts w:asciiTheme="majorHAnsi" w:hAnsiTheme="majorHAnsi"/>
          <w:sz w:val="28"/>
          <w:szCs w:val="28"/>
        </w:rPr>
        <w:t>програмний</w:t>
      </w:r>
      <w:r w:rsidRPr="00200825">
        <w:rPr>
          <w:rFonts w:asciiTheme="majorHAnsi" w:hAnsiTheme="majorHAnsi"/>
          <w:sz w:val="28"/>
          <w:szCs w:val="28"/>
        </w:rPr>
        <w:t xml:space="preserve"> документ </w:t>
      </w:r>
      <w:r w:rsidR="00EC0197" w:rsidRPr="00200825">
        <w:rPr>
          <w:rFonts w:asciiTheme="majorHAnsi" w:hAnsiTheme="majorHAnsi"/>
          <w:sz w:val="28"/>
          <w:szCs w:val="28"/>
        </w:rPr>
        <w:t>відповідає оцінці</w:t>
      </w:r>
      <w:r w:rsidRPr="00200825">
        <w:rPr>
          <w:rFonts w:asciiTheme="majorHAnsi" w:hAnsiTheme="majorHAnsi"/>
          <w:sz w:val="28"/>
          <w:szCs w:val="28"/>
        </w:rPr>
        <w:t xml:space="preserve"> </w:t>
      </w:r>
      <w:r w:rsidR="00705E4D">
        <w:rPr>
          <w:rFonts w:asciiTheme="majorHAnsi" w:hAnsiTheme="majorHAnsi"/>
          <w:sz w:val="28"/>
          <w:szCs w:val="28"/>
        </w:rPr>
        <w:t>непевності</w:t>
      </w:r>
      <w:r w:rsidRPr="00200825">
        <w:rPr>
          <w:rFonts w:asciiTheme="majorHAnsi" w:hAnsiTheme="majorHAnsi"/>
          <w:sz w:val="28"/>
          <w:szCs w:val="28"/>
        </w:rPr>
        <w:t xml:space="preserve"> вимірювання та її </w:t>
      </w:r>
      <w:r w:rsidR="00EC0197" w:rsidRPr="00200825">
        <w:rPr>
          <w:rFonts w:asciiTheme="majorHAnsi" w:hAnsiTheme="majorHAnsi"/>
          <w:sz w:val="28"/>
          <w:szCs w:val="28"/>
        </w:rPr>
        <w:t>подання</w:t>
      </w:r>
      <w:r w:rsidRPr="00200825">
        <w:rPr>
          <w:rFonts w:asciiTheme="majorHAnsi" w:hAnsiTheme="majorHAnsi"/>
          <w:sz w:val="28"/>
          <w:szCs w:val="28"/>
        </w:rPr>
        <w:t xml:space="preserve"> в сертифікатах калібрування акредитов</w:t>
      </w:r>
      <w:r w:rsidR="00BF392E" w:rsidRPr="00200825">
        <w:rPr>
          <w:rFonts w:asciiTheme="majorHAnsi" w:hAnsiTheme="majorHAnsi"/>
          <w:sz w:val="28"/>
          <w:szCs w:val="28"/>
        </w:rPr>
        <w:t>аних лабораторій, а також оцінці</w:t>
      </w:r>
      <w:r w:rsidRPr="00200825">
        <w:rPr>
          <w:rFonts w:asciiTheme="majorHAnsi" w:hAnsiTheme="majorHAnsi"/>
          <w:sz w:val="28"/>
          <w:szCs w:val="28"/>
        </w:rPr>
        <w:t xml:space="preserve"> CMC за сферами акредитації відповідно до принципів, узгоджених між ILAC та BIPM (див. додаток).</w:t>
      </w:r>
    </w:p>
    <w:p w14:paraId="31162C40" w14:textId="77777777" w:rsidR="00466AF5" w:rsidRPr="00200825" w:rsidRDefault="00466AF5" w:rsidP="00CB6BEE">
      <w:pPr>
        <w:spacing w:after="0"/>
        <w:jc w:val="both"/>
        <w:rPr>
          <w:rFonts w:asciiTheme="majorHAnsi" w:hAnsiTheme="majorHAnsi"/>
          <w:sz w:val="28"/>
          <w:szCs w:val="28"/>
        </w:rPr>
      </w:pPr>
    </w:p>
    <w:p w14:paraId="3AAC5B68" w14:textId="77777777" w:rsidR="00466AF5" w:rsidRPr="00200825" w:rsidRDefault="00466AF5" w:rsidP="00CB6BEE">
      <w:pPr>
        <w:spacing w:after="0"/>
        <w:jc w:val="both"/>
        <w:rPr>
          <w:rFonts w:asciiTheme="majorHAnsi" w:hAnsiTheme="majorHAnsi"/>
          <w:i/>
          <w:sz w:val="28"/>
          <w:szCs w:val="28"/>
        </w:rPr>
      </w:pPr>
      <w:r w:rsidRPr="00200825">
        <w:rPr>
          <w:rFonts w:asciiTheme="majorHAnsi" w:hAnsiTheme="majorHAnsi"/>
          <w:i/>
          <w:sz w:val="28"/>
          <w:szCs w:val="28"/>
        </w:rPr>
        <w:t xml:space="preserve">*3.7.6 Сторони, які підписали угоду ILAC, повинні мати та запровадити критерії для визначення </w:t>
      </w:r>
      <w:r w:rsidR="00705E4D">
        <w:rPr>
          <w:rFonts w:asciiTheme="majorHAnsi" w:hAnsiTheme="majorHAnsi"/>
          <w:i/>
          <w:sz w:val="28"/>
          <w:szCs w:val="28"/>
        </w:rPr>
        <w:t>непевності вимірювання</w:t>
      </w:r>
      <w:r w:rsidRPr="00200825">
        <w:rPr>
          <w:rFonts w:asciiTheme="majorHAnsi" w:hAnsiTheme="majorHAnsi"/>
          <w:i/>
          <w:sz w:val="28"/>
          <w:szCs w:val="28"/>
        </w:rPr>
        <w:t xml:space="preserve"> під час калібрування до червня 2000 р. </w:t>
      </w:r>
      <w:r w:rsidR="00343107" w:rsidRPr="00200825">
        <w:rPr>
          <w:rFonts w:asciiTheme="majorHAnsi" w:hAnsiTheme="majorHAnsi"/>
          <w:i/>
          <w:sz w:val="28"/>
          <w:szCs w:val="28"/>
        </w:rPr>
        <w:t>Підписантам</w:t>
      </w:r>
      <w:r w:rsidRPr="00200825">
        <w:rPr>
          <w:rFonts w:asciiTheme="majorHAnsi" w:hAnsiTheme="majorHAnsi"/>
          <w:i/>
          <w:sz w:val="28"/>
          <w:szCs w:val="28"/>
        </w:rPr>
        <w:t xml:space="preserve"> </w:t>
      </w:r>
      <w:r w:rsidR="00BF392E" w:rsidRPr="00200825">
        <w:rPr>
          <w:rFonts w:asciiTheme="majorHAnsi" w:hAnsiTheme="majorHAnsi"/>
          <w:i/>
          <w:sz w:val="28"/>
          <w:szCs w:val="28"/>
        </w:rPr>
        <w:t>необхідно</w:t>
      </w:r>
      <w:r w:rsidRPr="00200825">
        <w:rPr>
          <w:rFonts w:asciiTheme="majorHAnsi" w:hAnsiTheme="majorHAnsi"/>
          <w:i/>
          <w:sz w:val="28"/>
          <w:szCs w:val="28"/>
        </w:rPr>
        <w:t xml:space="preserve"> продемонструвати, що такі документи еквівалентні Настанові GUM. Документ EAL-R2 «</w:t>
      </w:r>
      <w:r w:rsidR="005379CB" w:rsidRPr="00200825">
        <w:rPr>
          <w:rFonts w:asciiTheme="majorHAnsi" w:hAnsiTheme="majorHAnsi"/>
          <w:i/>
          <w:sz w:val="28"/>
          <w:szCs w:val="28"/>
        </w:rPr>
        <w:t>Настанова</w:t>
      </w:r>
      <w:r w:rsidRPr="00200825">
        <w:rPr>
          <w:rFonts w:asciiTheme="majorHAnsi" w:hAnsiTheme="majorHAnsi"/>
          <w:i/>
          <w:sz w:val="28"/>
          <w:szCs w:val="28"/>
        </w:rPr>
        <w:t xml:space="preserve"> щодо  подання </w:t>
      </w:r>
      <w:r w:rsidR="00705E4D">
        <w:rPr>
          <w:rFonts w:asciiTheme="majorHAnsi" w:hAnsiTheme="majorHAnsi"/>
          <w:i/>
          <w:sz w:val="28"/>
          <w:szCs w:val="28"/>
        </w:rPr>
        <w:t>непевності</w:t>
      </w:r>
      <w:r w:rsidRPr="00200825">
        <w:rPr>
          <w:rFonts w:asciiTheme="majorHAnsi" w:hAnsiTheme="majorHAnsi"/>
          <w:i/>
          <w:sz w:val="28"/>
          <w:szCs w:val="28"/>
        </w:rPr>
        <w:t xml:space="preserve"> у вимірюванні</w:t>
      </w:r>
      <w:r w:rsidR="005379CB" w:rsidRPr="00200825">
        <w:rPr>
          <w:rFonts w:asciiTheme="majorHAnsi" w:hAnsiTheme="majorHAnsi"/>
          <w:i/>
          <w:sz w:val="28"/>
          <w:szCs w:val="28"/>
        </w:rPr>
        <w:t>» [1] використовують</w:t>
      </w:r>
      <w:r w:rsidRPr="00200825">
        <w:rPr>
          <w:rFonts w:asciiTheme="majorHAnsi" w:hAnsiTheme="majorHAnsi"/>
          <w:i/>
          <w:sz w:val="28"/>
          <w:szCs w:val="28"/>
        </w:rPr>
        <w:t xml:space="preserve"> як </w:t>
      </w:r>
      <w:r w:rsidR="005379CB" w:rsidRPr="00200825">
        <w:rPr>
          <w:rFonts w:asciiTheme="majorHAnsi" w:hAnsiTheme="majorHAnsi"/>
          <w:i/>
          <w:sz w:val="28"/>
          <w:szCs w:val="28"/>
        </w:rPr>
        <w:t>міру</w:t>
      </w:r>
      <w:r w:rsidRPr="00200825">
        <w:rPr>
          <w:rFonts w:asciiTheme="majorHAnsi" w:hAnsiTheme="majorHAnsi"/>
          <w:i/>
          <w:sz w:val="28"/>
          <w:szCs w:val="28"/>
        </w:rPr>
        <w:t xml:space="preserve"> для таких документів як тимчасовий захід до розробки документа ILAC.</w:t>
      </w:r>
      <w:r w:rsidR="005379CB" w:rsidRPr="00200825">
        <w:rPr>
          <w:rFonts w:asciiTheme="majorHAnsi" w:hAnsiTheme="majorHAnsi"/>
          <w:i/>
          <w:sz w:val="28"/>
          <w:szCs w:val="28"/>
        </w:rPr>
        <w:t xml:space="preserve"> Пізніші версії цього документа EA є  актуальними і тепер мають номер EA-4/02 [1].</w:t>
      </w:r>
    </w:p>
    <w:p w14:paraId="013B7B8D" w14:textId="77777777" w:rsidR="005379CB" w:rsidRPr="00200825" w:rsidRDefault="005379CB" w:rsidP="00CB6BEE">
      <w:pPr>
        <w:spacing w:after="0"/>
        <w:jc w:val="both"/>
        <w:rPr>
          <w:rFonts w:asciiTheme="majorHAnsi" w:hAnsiTheme="majorHAnsi"/>
          <w:i/>
          <w:sz w:val="28"/>
          <w:szCs w:val="28"/>
        </w:rPr>
      </w:pPr>
    </w:p>
    <w:p w14:paraId="61FF90BC" w14:textId="77777777" w:rsidR="00F92B8A" w:rsidRPr="00200825" w:rsidRDefault="00F92B8A" w:rsidP="00F92B8A">
      <w:pPr>
        <w:spacing w:after="0"/>
        <w:jc w:val="both"/>
        <w:rPr>
          <w:rFonts w:asciiTheme="majorHAnsi" w:hAnsiTheme="majorHAnsi"/>
          <w:sz w:val="28"/>
          <w:szCs w:val="28"/>
        </w:rPr>
      </w:pPr>
      <w:r w:rsidRPr="00200825">
        <w:rPr>
          <w:rFonts w:asciiTheme="majorHAnsi" w:hAnsiTheme="majorHAnsi"/>
          <w:sz w:val="28"/>
          <w:szCs w:val="28"/>
        </w:rPr>
        <w:t>У цьому документі використовують такі дієслівні форми:</w:t>
      </w:r>
    </w:p>
    <w:p w14:paraId="24606533" w14:textId="77777777" w:rsidR="003020D8" w:rsidRPr="00200825" w:rsidRDefault="003020D8" w:rsidP="00F92B8A">
      <w:pPr>
        <w:spacing w:after="0"/>
        <w:jc w:val="both"/>
        <w:rPr>
          <w:rFonts w:asciiTheme="majorHAnsi" w:hAnsiTheme="majorHAnsi"/>
          <w:sz w:val="28"/>
          <w:szCs w:val="28"/>
        </w:rPr>
      </w:pPr>
    </w:p>
    <w:p w14:paraId="21171FDC" w14:textId="77777777" w:rsidR="00F92B8A" w:rsidRPr="00200825" w:rsidRDefault="00F92B8A" w:rsidP="00F92B8A">
      <w:pPr>
        <w:spacing w:after="0"/>
        <w:jc w:val="both"/>
        <w:rPr>
          <w:rFonts w:asciiTheme="majorHAnsi" w:hAnsiTheme="majorHAnsi"/>
          <w:sz w:val="28"/>
          <w:szCs w:val="28"/>
        </w:rPr>
      </w:pPr>
      <w:r w:rsidRPr="00200825">
        <w:rPr>
          <w:rFonts w:asciiTheme="majorHAnsi" w:hAnsiTheme="majorHAnsi"/>
          <w:sz w:val="28"/>
          <w:szCs w:val="28"/>
        </w:rPr>
        <w:t>- «повинен» вказує на вимогу;</w:t>
      </w:r>
    </w:p>
    <w:p w14:paraId="0F2DF598" w14:textId="77777777" w:rsidR="00F92B8A" w:rsidRPr="00200825" w:rsidRDefault="00F92B8A" w:rsidP="00F92B8A">
      <w:pPr>
        <w:spacing w:after="0"/>
        <w:jc w:val="both"/>
        <w:rPr>
          <w:rFonts w:asciiTheme="majorHAnsi" w:hAnsiTheme="majorHAnsi"/>
          <w:sz w:val="28"/>
          <w:szCs w:val="28"/>
        </w:rPr>
      </w:pPr>
      <w:r w:rsidRPr="00200825">
        <w:rPr>
          <w:rFonts w:asciiTheme="majorHAnsi" w:hAnsiTheme="majorHAnsi"/>
          <w:sz w:val="28"/>
          <w:szCs w:val="28"/>
        </w:rPr>
        <w:t>- «слід» означає рекомендацію;</w:t>
      </w:r>
    </w:p>
    <w:p w14:paraId="7133844F" w14:textId="77777777" w:rsidR="00F92B8A" w:rsidRPr="00200825" w:rsidRDefault="00F92B8A" w:rsidP="00F92B8A">
      <w:pPr>
        <w:spacing w:after="0"/>
        <w:jc w:val="both"/>
        <w:rPr>
          <w:rFonts w:asciiTheme="majorHAnsi" w:hAnsiTheme="majorHAnsi"/>
          <w:sz w:val="28"/>
          <w:szCs w:val="28"/>
        </w:rPr>
      </w:pPr>
      <w:r w:rsidRPr="00200825">
        <w:rPr>
          <w:rFonts w:asciiTheme="majorHAnsi" w:hAnsiTheme="majorHAnsi"/>
          <w:sz w:val="28"/>
          <w:szCs w:val="28"/>
        </w:rPr>
        <w:t>- «може» означає дозвіл;</w:t>
      </w:r>
    </w:p>
    <w:p w14:paraId="6067BE76" w14:textId="77777777" w:rsidR="00F92B8A" w:rsidRPr="00200825" w:rsidRDefault="00F92B8A" w:rsidP="00F92B8A">
      <w:pPr>
        <w:spacing w:after="0"/>
        <w:jc w:val="both"/>
        <w:rPr>
          <w:rFonts w:asciiTheme="majorHAnsi" w:hAnsiTheme="majorHAnsi"/>
          <w:sz w:val="28"/>
          <w:szCs w:val="28"/>
        </w:rPr>
      </w:pPr>
      <w:r w:rsidRPr="00200825">
        <w:rPr>
          <w:rFonts w:asciiTheme="majorHAnsi" w:hAnsiTheme="majorHAnsi"/>
          <w:sz w:val="28"/>
          <w:szCs w:val="28"/>
        </w:rPr>
        <w:t>- «може» вказує на можливість або здатність.</w:t>
      </w:r>
    </w:p>
    <w:p w14:paraId="0702A723" w14:textId="77777777" w:rsidR="003020D8" w:rsidRPr="00200825" w:rsidRDefault="003020D8" w:rsidP="00F92B8A">
      <w:pPr>
        <w:spacing w:after="0"/>
        <w:jc w:val="both"/>
        <w:rPr>
          <w:rFonts w:asciiTheme="majorHAnsi" w:hAnsiTheme="majorHAnsi"/>
          <w:sz w:val="28"/>
          <w:szCs w:val="28"/>
        </w:rPr>
      </w:pPr>
    </w:p>
    <w:p w14:paraId="0BD29D45" w14:textId="77777777" w:rsidR="005379CB" w:rsidRPr="00200825" w:rsidRDefault="00F92B8A" w:rsidP="00F92B8A">
      <w:pPr>
        <w:spacing w:after="0"/>
        <w:jc w:val="both"/>
        <w:rPr>
          <w:rFonts w:asciiTheme="majorHAnsi" w:hAnsiTheme="majorHAnsi"/>
          <w:sz w:val="28"/>
          <w:szCs w:val="28"/>
          <w:vertAlign w:val="superscript"/>
        </w:rPr>
      </w:pPr>
      <w:r w:rsidRPr="00200825">
        <w:rPr>
          <w:rFonts w:asciiTheme="majorHAnsi" w:hAnsiTheme="majorHAnsi"/>
          <w:sz w:val="28"/>
          <w:szCs w:val="28"/>
        </w:rPr>
        <w:t>Додаткову інформацію можна знайти в Директивах ISO/IEC, Частина 2</w:t>
      </w:r>
      <w:r w:rsidRPr="00200825">
        <w:rPr>
          <w:rFonts w:asciiTheme="majorHAnsi" w:hAnsiTheme="majorHAnsi"/>
          <w:sz w:val="28"/>
          <w:szCs w:val="28"/>
          <w:vertAlign w:val="superscript"/>
        </w:rPr>
        <w:t>[2]</w:t>
      </w:r>
    </w:p>
    <w:p w14:paraId="29E81258" w14:textId="77777777" w:rsidR="002D60A7" w:rsidRPr="00200825" w:rsidRDefault="002D60A7" w:rsidP="00F92B8A">
      <w:pPr>
        <w:spacing w:after="0"/>
        <w:jc w:val="both"/>
        <w:rPr>
          <w:rFonts w:asciiTheme="majorHAnsi" w:hAnsiTheme="majorHAnsi"/>
          <w:sz w:val="28"/>
          <w:szCs w:val="28"/>
          <w:vertAlign w:val="superscript"/>
        </w:rPr>
      </w:pPr>
    </w:p>
    <w:p w14:paraId="47148F3D" w14:textId="77777777" w:rsidR="003020D8" w:rsidRPr="00200825" w:rsidRDefault="003020D8" w:rsidP="00F92B8A">
      <w:pPr>
        <w:spacing w:after="0"/>
        <w:jc w:val="both"/>
        <w:rPr>
          <w:rFonts w:asciiTheme="majorHAnsi" w:hAnsiTheme="majorHAnsi"/>
          <w:sz w:val="28"/>
          <w:szCs w:val="28"/>
        </w:rPr>
      </w:pPr>
    </w:p>
    <w:p w14:paraId="7AC7E5C2" w14:textId="77777777" w:rsidR="002D60A7" w:rsidRPr="00200825" w:rsidRDefault="003020D8" w:rsidP="00F92B8A">
      <w:pPr>
        <w:spacing w:after="0"/>
        <w:jc w:val="both"/>
        <w:rPr>
          <w:rFonts w:asciiTheme="majorHAnsi" w:hAnsiTheme="majorHAnsi"/>
          <w:b/>
          <w:sz w:val="28"/>
          <w:szCs w:val="28"/>
        </w:rPr>
      </w:pPr>
      <w:r w:rsidRPr="00200825">
        <w:rPr>
          <w:rFonts w:asciiTheme="majorHAnsi" w:hAnsiTheme="majorHAnsi"/>
          <w:b/>
          <w:sz w:val="28"/>
          <w:szCs w:val="28"/>
        </w:rPr>
        <w:t>МЕТА</w:t>
      </w:r>
    </w:p>
    <w:p w14:paraId="61C63212" w14:textId="77777777" w:rsidR="00BD2E0C" w:rsidRPr="00200825" w:rsidRDefault="00BD2E0C" w:rsidP="00F92B8A">
      <w:pPr>
        <w:spacing w:after="0"/>
        <w:jc w:val="both"/>
        <w:rPr>
          <w:rFonts w:asciiTheme="majorHAnsi" w:hAnsiTheme="majorHAnsi"/>
          <w:sz w:val="28"/>
          <w:szCs w:val="28"/>
        </w:rPr>
      </w:pPr>
    </w:p>
    <w:p w14:paraId="0B7BBA47" w14:textId="77777777" w:rsidR="003020D8" w:rsidRPr="00200825" w:rsidRDefault="003020D8" w:rsidP="00F92B8A">
      <w:pPr>
        <w:spacing w:after="0"/>
        <w:jc w:val="both"/>
        <w:rPr>
          <w:rFonts w:asciiTheme="majorHAnsi" w:hAnsiTheme="majorHAnsi"/>
          <w:sz w:val="28"/>
          <w:szCs w:val="28"/>
        </w:rPr>
      </w:pPr>
      <w:r w:rsidRPr="00200825">
        <w:rPr>
          <w:rFonts w:asciiTheme="majorHAnsi" w:hAnsiTheme="majorHAnsi"/>
          <w:sz w:val="28"/>
          <w:szCs w:val="28"/>
        </w:rPr>
        <w:t xml:space="preserve">Ця політика встановлює вимоги до </w:t>
      </w:r>
      <w:r w:rsidR="00FF071D" w:rsidRPr="00200825">
        <w:rPr>
          <w:rFonts w:asciiTheme="majorHAnsi" w:hAnsiTheme="majorHAnsi"/>
          <w:sz w:val="28"/>
          <w:szCs w:val="28"/>
        </w:rPr>
        <w:t>заяв</w:t>
      </w:r>
      <w:r w:rsidR="00873FE0" w:rsidRPr="00200825">
        <w:rPr>
          <w:rFonts w:asciiTheme="majorHAnsi" w:hAnsiTheme="majorHAnsi"/>
          <w:sz w:val="28"/>
          <w:szCs w:val="28"/>
        </w:rPr>
        <w:t>и</w:t>
      </w:r>
      <w:r w:rsidR="00BF392E" w:rsidRPr="00200825">
        <w:rPr>
          <w:rFonts w:asciiTheme="majorHAnsi" w:hAnsiTheme="majorHAnsi"/>
          <w:sz w:val="28"/>
          <w:szCs w:val="28"/>
        </w:rPr>
        <w:t xml:space="preserve"> </w:t>
      </w:r>
      <w:r w:rsidRPr="00200825">
        <w:rPr>
          <w:rFonts w:asciiTheme="majorHAnsi" w:hAnsiTheme="majorHAnsi"/>
          <w:sz w:val="28"/>
          <w:szCs w:val="28"/>
        </w:rPr>
        <w:t xml:space="preserve">про </w:t>
      </w:r>
      <w:r w:rsidR="008174F9" w:rsidRPr="00200825">
        <w:rPr>
          <w:rFonts w:asciiTheme="majorHAnsi" w:hAnsiTheme="majorHAnsi"/>
          <w:sz w:val="28"/>
          <w:szCs w:val="28"/>
        </w:rPr>
        <w:t>калібрувальні та вимірювальні</w:t>
      </w:r>
      <w:r w:rsidRPr="00200825">
        <w:rPr>
          <w:rFonts w:asciiTheme="majorHAnsi" w:hAnsiTheme="majorHAnsi"/>
          <w:sz w:val="28"/>
          <w:szCs w:val="28"/>
        </w:rPr>
        <w:t xml:space="preserve"> </w:t>
      </w:r>
      <w:r w:rsidR="008174F9" w:rsidRPr="00200825">
        <w:rPr>
          <w:rFonts w:asciiTheme="majorHAnsi" w:hAnsiTheme="majorHAnsi"/>
          <w:sz w:val="28"/>
          <w:szCs w:val="28"/>
        </w:rPr>
        <w:t xml:space="preserve">можливості </w:t>
      </w:r>
      <w:r w:rsidRPr="00200825">
        <w:rPr>
          <w:rFonts w:asciiTheme="majorHAnsi" w:hAnsiTheme="majorHAnsi"/>
          <w:sz w:val="28"/>
          <w:szCs w:val="28"/>
        </w:rPr>
        <w:t xml:space="preserve">(CMC) і до </w:t>
      </w:r>
      <w:r w:rsidR="00BD2E0C" w:rsidRPr="00200825">
        <w:rPr>
          <w:rFonts w:asciiTheme="majorHAnsi" w:hAnsiTheme="majorHAnsi"/>
          <w:sz w:val="28"/>
          <w:szCs w:val="28"/>
        </w:rPr>
        <w:t xml:space="preserve">оцінки </w:t>
      </w:r>
      <w:r w:rsidR="00705E4D">
        <w:rPr>
          <w:rFonts w:asciiTheme="majorHAnsi" w:hAnsiTheme="majorHAnsi"/>
          <w:sz w:val="28"/>
          <w:szCs w:val="28"/>
        </w:rPr>
        <w:t>непевності</w:t>
      </w:r>
      <w:r w:rsidR="00BD2E0C" w:rsidRPr="00200825">
        <w:rPr>
          <w:rFonts w:asciiTheme="majorHAnsi" w:hAnsiTheme="majorHAnsi"/>
          <w:sz w:val="28"/>
          <w:szCs w:val="28"/>
        </w:rPr>
        <w:t xml:space="preserve"> вимірювання</w:t>
      </w:r>
      <w:r w:rsidRPr="00200825">
        <w:rPr>
          <w:rFonts w:asciiTheme="majorHAnsi" w:hAnsiTheme="majorHAnsi"/>
          <w:sz w:val="28"/>
          <w:szCs w:val="28"/>
        </w:rPr>
        <w:t xml:space="preserve"> у сертифікатах або звітах про калібрування.</w:t>
      </w:r>
      <w:r w:rsidR="00BD2E0C" w:rsidRPr="00200825">
        <w:rPr>
          <w:rFonts w:asciiTheme="majorHAnsi" w:hAnsiTheme="majorHAnsi"/>
          <w:sz w:val="28"/>
          <w:szCs w:val="28"/>
        </w:rPr>
        <w:t xml:space="preserve"> У контекст</w:t>
      </w:r>
      <w:r w:rsidR="00873FE0" w:rsidRPr="00200825">
        <w:rPr>
          <w:rFonts w:asciiTheme="majorHAnsi" w:hAnsiTheme="majorHAnsi"/>
          <w:sz w:val="28"/>
          <w:szCs w:val="28"/>
        </w:rPr>
        <w:t>і цього документа «К</w:t>
      </w:r>
      <w:r w:rsidR="00BD2E0C" w:rsidRPr="00200825">
        <w:rPr>
          <w:rFonts w:asciiTheme="majorHAnsi" w:hAnsiTheme="majorHAnsi"/>
          <w:sz w:val="28"/>
          <w:szCs w:val="28"/>
        </w:rPr>
        <w:t>алібрувальна лабораторія» означає всі організації, які здійснюють</w:t>
      </w:r>
      <w:r w:rsidR="0031574E" w:rsidRPr="00200825">
        <w:rPr>
          <w:rFonts w:asciiTheme="majorHAnsi" w:hAnsiTheme="majorHAnsi"/>
          <w:sz w:val="28"/>
          <w:szCs w:val="28"/>
        </w:rPr>
        <w:t xml:space="preserve"> калібрувальну діяльність, а саме:</w:t>
      </w:r>
      <w:r w:rsidR="00BD2E0C" w:rsidRPr="00200825">
        <w:rPr>
          <w:rFonts w:asciiTheme="majorHAnsi" w:hAnsiTheme="majorHAnsi"/>
          <w:sz w:val="28"/>
          <w:szCs w:val="28"/>
        </w:rPr>
        <w:t xml:space="preserve"> випробувальні, калібрувальні та медичні лабораторії; контролюючі органи; біобанки; виробники </w:t>
      </w:r>
      <w:r w:rsidR="0031574E" w:rsidRPr="00200825">
        <w:rPr>
          <w:rFonts w:asciiTheme="majorHAnsi" w:hAnsiTheme="majorHAnsi"/>
          <w:sz w:val="28"/>
          <w:szCs w:val="28"/>
        </w:rPr>
        <w:t>референтних матеріалів</w:t>
      </w:r>
      <w:r w:rsidR="00BD2E0C" w:rsidRPr="00200825">
        <w:rPr>
          <w:rFonts w:asciiTheme="majorHAnsi" w:hAnsiTheme="majorHAnsi"/>
          <w:sz w:val="28"/>
          <w:szCs w:val="28"/>
        </w:rPr>
        <w:t xml:space="preserve"> і </w:t>
      </w:r>
      <w:r w:rsidR="00705E4D">
        <w:rPr>
          <w:rFonts w:asciiTheme="majorHAnsi" w:hAnsiTheme="majorHAnsi"/>
          <w:sz w:val="28"/>
          <w:szCs w:val="28"/>
        </w:rPr>
        <w:t>надавачі перевіряння фаховості</w:t>
      </w:r>
      <w:r w:rsidR="00BD2E0C" w:rsidRPr="00200825">
        <w:rPr>
          <w:rFonts w:asciiTheme="majorHAnsi" w:hAnsiTheme="majorHAnsi"/>
          <w:sz w:val="28"/>
          <w:szCs w:val="28"/>
        </w:rPr>
        <w:t>.</w:t>
      </w:r>
      <w:r w:rsidR="0018114C" w:rsidRPr="00200825">
        <w:rPr>
          <w:rFonts w:asciiTheme="majorHAnsi" w:hAnsiTheme="majorHAnsi"/>
          <w:sz w:val="28"/>
          <w:szCs w:val="28"/>
        </w:rPr>
        <w:t xml:space="preserve"> Ця політика розроблена з метою забезпечення узгодженого тлумачення GUM і послідовного використання CMC організаціями-членами ILAC, яка зміцнить довіру до Угоди ILAC.</w:t>
      </w:r>
      <w:r w:rsidR="00950A03" w:rsidRPr="00200825">
        <w:rPr>
          <w:rFonts w:asciiTheme="majorHAnsi" w:hAnsiTheme="majorHAnsi"/>
          <w:sz w:val="28"/>
          <w:szCs w:val="28"/>
        </w:rPr>
        <w:t xml:space="preserve"> Хоча </w:t>
      </w:r>
      <w:r w:rsidR="0031574E" w:rsidRPr="00200825">
        <w:rPr>
          <w:rFonts w:asciiTheme="majorHAnsi" w:hAnsiTheme="majorHAnsi"/>
          <w:sz w:val="28"/>
          <w:szCs w:val="28"/>
        </w:rPr>
        <w:t>вона</w:t>
      </w:r>
      <w:r w:rsidR="00950A03" w:rsidRPr="00200825">
        <w:rPr>
          <w:rFonts w:asciiTheme="majorHAnsi" w:hAnsiTheme="majorHAnsi"/>
          <w:sz w:val="28"/>
          <w:szCs w:val="28"/>
        </w:rPr>
        <w:t xml:space="preserve"> охоплює калібрування </w:t>
      </w:r>
      <w:r w:rsidR="0031574E" w:rsidRPr="00200825">
        <w:rPr>
          <w:rFonts w:asciiTheme="majorHAnsi" w:hAnsiTheme="majorHAnsi"/>
          <w:sz w:val="28"/>
          <w:szCs w:val="28"/>
        </w:rPr>
        <w:t>референтних</w:t>
      </w:r>
      <w:r w:rsidR="002161CF" w:rsidRPr="00200825">
        <w:rPr>
          <w:rFonts w:asciiTheme="majorHAnsi" w:hAnsiTheme="majorHAnsi"/>
          <w:sz w:val="28"/>
          <w:szCs w:val="28"/>
        </w:rPr>
        <w:t xml:space="preserve"> </w:t>
      </w:r>
      <w:r w:rsidR="0031574E" w:rsidRPr="00200825">
        <w:rPr>
          <w:rFonts w:asciiTheme="majorHAnsi" w:hAnsiTheme="majorHAnsi"/>
          <w:sz w:val="28"/>
          <w:szCs w:val="28"/>
        </w:rPr>
        <w:t>матеріалів</w:t>
      </w:r>
      <w:r w:rsidR="00950A03" w:rsidRPr="00200825">
        <w:rPr>
          <w:rFonts w:asciiTheme="majorHAnsi" w:hAnsiTheme="majorHAnsi"/>
          <w:sz w:val="28"/>
          <w:szCs w:val="28"/>
        </w:rPr>
        <w:t xml:space="preserve"> (RM), </w:t>
      </w:r>
      <w:r w:rsidR="00873FE0" w:rsidRPr="00200825">
        <w:rPr>
          <w:rFonts w:asciiTheme="majorHAnsi" w:hAnsiTheme="majorHAnsi"/>
          <w:sz w:val="28"/>
          <w:szCs w:val="28"/>
        </w:rPr>
        <w:t xml:space="preserve">вона не охоплює призначення </w:t>
      </w:r>
      <w:r w:rsidR="00705E4D">
        <w:rPr>
          <w:rFonts w:asciiTheme="majorHAnsi" w:hAnsiTheme="majorHAnsi"/>
          <w:sz w:val="28"/>
          <w:szCs w:val="28"/>
        </w:rPr>
        <w:t>непевності</w:t>
      </w:r>
      <w:r w:rsidR="00873FE0" w:rsidRPr="00200825">
        <w:rPr>
          <w:rFonts w:asciiTheme="majorHAnsi" w:hAnsiTheme="majorHAnsi"/>
          <w:sz w:val="28"/>
          <w:szCs w:val="28"/>
        </w:rPr>
        <w:t xml:space="preserve"> </w:t>
      </w:r>
      <w:r w:rsidR="00950A03" w:rsidRPr="00200825">
        <w:rPr>
          <w:rFonts w:asciiTheme="majorHAnsi" w:hAnsiTheme="majorHAnsi"/>
          <w:sz w:val="28"/>
          <w:szCs w:val="28"/>
        </w:rPr>
        <w:t xml:space="preserve">значенню властивості RM у будь-якій </w:t>
      </w:r>
      <w:r w:rsidR="002161CF" w:rsidRPr="00200825">
        <w:rPr>
          <w:rFonts w:asciiTheme="majorHAnsi" w:hAnsiTheme="majorHAnsi"/>
          <w:sz w:val="28"/>
          <w:szCs w:val="28"/>
        </w:rPr>
        <w:t>галузі</w:t>
      </w:r>
      <w:r w:rsidR="00950A03" w:rsidRPr="00200825">
        <w:rPr>
          <w:rFonts w:asciiTheme="majorHAnsi" w:hAnsiTheme="majorHAnsi"/>
          <w:sz w:val="28"/>
          <w:szCs w:val="28"/>
        </w:rPr>
        <w:t>.</w:t>
      </w:r>
      <w:r w:rsidR="00873FE0" w:rsidRPr="00200825">
        <w:rPr>
          <w:rFonts w:asciiTheme="majorHAnsi" w:hAnsiTheme="majorHAnsi"/>
          <w:sz w:val="28"/>
          <w:szCs w:val="28"/>
        </w:rPr>
        <w:t xml:space="preserve"> </w:t>
      </w:r>
    </w:p>
    <w:p w14:paraId="24A5F230" w14:textId="77777777" w:rsidR="003020D8" w:rsidRPr="00200825" w:rsidRDefault="0057707F" w:rsidP="00F92B8A">
      <w:pPr>
        <w:spacing w:after="0"/>
        <w:jc w:val="both"/>
        <w:rPr>
          <w:rFonts w:asciiTheme="majorHAnsi" w:hAnsiTheme="majorHAnsi"/>
          <w:sz w:val="28"/>
          <w:szCs w:val="28"/>
        </w:rPr>
      </w:pPr>
      <w:r w:rsidRPr="00200825">
        <w:rPr>
          <w:rFonts w:asciiTheme="majorHAnsi" w:hAnsiTheme="majorHAnsi"/>
          <w:sz w:val="28"/>
          <w:szCs w:val="28"/>
        </w:rPr>
        <w:t xml:space="preserve">Організації, окрім калібрувальних лабораторій, не </w:t>
      </w:r>
      <w:r w:rsidR="002161CF" w:rsidRPr="00200825">
        <w:rPr>
          <w:rFonts w:asciiTheme="majorHAnsi" w:hAnsiTheme="majorHAnsi"/>
          <w:sz w:val="28"/>
          <w:szCs w:val="28"/>
        </w:rPr>
        <w:t>оцінюють</w:t>
      </w:r>
      <w:r w:rsidR="00597C89" w:rsidRPr="00200825">
        <w:rPr>
          <w:rFonts w:asciiTheme="majorHAnsi" w:hAnsiTheme="majorHAnsi"/>
          <w:sz w:val="28"/>
          <w:szCs w:val="28"/>
        </w:rPr>
        <w:t xml:space="preserve"> свої CMC, але їм необхідно </w:t>
      </w:r>
      <w:r w:rsidRPr="00200825">
        <w:rPr>
          <w:rFonts w:asciiTheme="majorHAnsi" w:hAnsiTheme="majorHAnsi"/>
          <w:sz w:val="28"/>
          <w:szCs w:val="28"/>
        </w:rPr>
        <w:t>звернути увагу на CMC, які охоплені Угодою ILAC щодо калібрування та CIPM MRA.</w:t>
      </w:r>
    </w:p>
    <w:p w14:paraId="0D48DE5A" w14:textId="77777777" w:rsidR="004735A6" w:rsidRPr="00200825" w:rsidRDefault="004735A6" w:rsidP="00F92B8A">
      <w:pPr>
        <w:spacing w:after="0"/>
        <w:jc w:val="both"/>
        <w:rPr>
          <w:rFonts w:asciiTheme="majorHAnsi" w:hAnsiTheme="majorHAnsi"/>
          <w:sz w:val="28"/>
          <w:szCs w:val="28"/>
        </w:rPr>
      </w:pPr>
    </w:p>
    <w:p w14:paraId="3F86DE0A" w14:textId="77777777" w:rsidR="005D24B1" w:rsidRPr="00200825" w:rsidRDefault="005D24B1" w:rsidP="00F92B8A">
      <w:pPr>
        <w:spacing w:after="0"/>
        <w:jc w:val="both"/>
        <w:rPr>
          <w:rFonts w:asciiTheme="majorHAnsi" w:hAnsiTheme="majorHAnsi"/>
          <w:sz w:val="28"/>
          <w:szCs w:val="28"/>
        </w:rPr>
      </w:pPr>
      <w:r w:rsidRPr="00200825">
        <w:rPr>
          <w:rFonts w:asciiTheme="majorHAnsi" w:hAnsiTheme="majorHAnsi"/>
          <w:sz w:val="28"/>
          <w:szCs w:val="28"/>
        </w:rPr>
        <w:t>Цей документ набуває чинності через шість місяців після дати публікації.</w:t>
      </w:r>
    </w:p>
    <w:p w14:paraId="3400FA14" w14:textId="77777777" w:rsidR="005D24B1" w:rsidRPr="00200825" w:rsidRDefault="005D24B1" w:rsidP="00F92B8A">
      <w:pPr>
        <w:spacing w:after="0"/>
        <w:jc w:val="both"/>
        <w:rPr>
          <w:rFonts w:asciiTheme="majorHAnsi" w:hAnsiTheme="majorHAnsi"/>
          <w:sz w:val="28"/>
          <w:szCs w:val="28"/>
        </w:rPr>
      </w:pPr>
    </w:p>
    <w:p w14:paraId="24869FF1" w14:textId="77777777" w:rsidR="005D24B1" w:rsidRPr="00200825" w:rsidRDefault="005D24B1" w:rsidP="00F92B8A">
      <w:pPr>
        <w:spacing w:after="0"/>
        <w:jc w:val="both"/>
        <w:rPr>
          <w:rFonts w:asciiTheme="majorHAnsi" w:hAnsiTheme="majorHAnsi"/>
          <w:sz w:val="28"/>
          <w:szCs w:val="28"/>
        </w:rPr>
      </w:pPr>
    </w:p>
    <w:p w14:paraId="5BB2AFC0" w14:textId="77777777" w:rsidR="003020D8" w:rsidRPr="00200825" w:rsidRDefault="003020D8" w:rsidP="00F92B8A">
      <w:pPr>
        <w:spacing w:after="0"/>
        <w:jc w:val="both"/>
        <w:rPr>
          <w:rFonts w:asciiTheme="majorHAnsi" w:hAnsiTheme="majorHAnsi"/>
          <w:sz w:val="28"/>
          <w:szCs w:val="28"/>
        </w:rPr>
      </w:pPr>
    </w:p>
    <w:p w14:paraId="710D325D" w14:textId="77777777" w:rsidR="005D24B1" w:rsidRPr="00200825" w:rsidRDefault="005D24B1" w:rsidP="00F92B8A">
      <w:pPr>
        <w:spacing w:after="0"/>
        <w:jc w:val="both"/>
        <w:rPr>
          <w:rFonts w:asciiTheme="majorHAnsi" w:hAnsiTheme="majorHAnsi"/>
          <w:sz w:val="28"/>
          <w:szCs w:val="28"/>
        </w:rPr>
      </w:pPr>
    </w:p>
    <w:p w14:paraId="2251FCEB" w14:textId="77777777" w:rsidR="005D24B1" w:rsidRPr="00200825" w:rsidRDefault="005D24B1" w:rsidP="00F92B8A">
      <w:pPr>
        <w:spacing w:after="0"/>
        <w:jc w:val="both"/>
        <w:rPr>
          <w:rFonts w:asciiTheme="majorHAnsi" w:hAnsiTheme="majorHAnsi"/>
          <w:sz w:val="28"/>
          <w:szCs w:val="28"/>
        </w:rPr>
      </w:pPr>
    </w:p>
    <w:p w14:paraId="3E6082D6" w14:textId="77777777" w:rsidR="005D24B1" w:rsidRPr="00200825" w:rsidRDefault="005D24B1" w:rsidP="00F92B8A">
      <w:pPr>
        <w:spacing w:after="0"/>
        <w:jc w:val="both"/>
        <w:rPr>
          <w:rFonts w:asciiTheme="majorHAnsi" w:hAnsiTheme="majorHAnsi"/>
          <w:sz w:val="28"/>
          <w:szCs w:val="28"/>
        </w:rPr>
      </w:pPr>
    </w:p>
    <w:p w14:paraId="17881FD1" w14:textId="77777777" w:rsidR="005D24B1" w:rsidRPr="00200825" w:rsidRDefault="005D24B1" w:rsidP="00F92B8A">
      <w:pPr>
        <w:spacing w:after="0"/>
        <w:jc w:val="both"/>
        <w:rPr>
          <w:rFonts w:asciiTheme="majorHAnsi" w:hAnsiTheme="majorHAnsi"/>
          <w:sz w:val="28"/>
          <w:szCs w:val="28"/>
        </w:rPr>
      </w:pPr>
    </w:p>
    <w:p w14:paraId="5C3940C2" w14:textId="77777777" w:rsidR="005D24B1" w:rsidRPr="00200825" w:rsidRDefault="005D24B1" w:rsidP="00F92B8A">
      <w:pPr>
        <w:spacing w:after="0"/>
        <w:jc w:val="both"/>
        <w:rPr>
          <w:rFonts w:asciiTheme="majorHAnsi" w:hAnsiTheme="majorHAnsi"/>
          <w:sz w:val="28"/>
          <w:szCs w:val="28"/>
        </w:rPr>
      </w:pPr>
    </w:p>
    <w:p w14:paraId="1B763649" w14:textId="77777777" w:rsidR="005D24B1" w:rsidRPr="00200825" w:rsidRDefault="005D24B1" w:rsidP="00F92B8A">
      <w:pPr>
        <w:spacing w:after="0"/>
        <w:jc w:val="both"/>
        <w:rPr>
          <w:rFonts w:asciiTheme="majorHAnsi" w:hAnsiTheme="majorHAnsi"/>
          <w:sz w:val="28"/>
          <w:szCs w:val="28"/>
        </w:rPr>
      </w:pPr>
    </w:p>
    <w:p w14:paraId="210D3FE6" w14:textId="77777777" w:rsidR="005D24B1" w:rsidRPr="00200825" w:rsidRDefault="005D24B1" w:rsidP="00F92B8A">
      <w:pPr>
        <w:spacing w:after="0"/>
        <w:jc w:val="both"/>
        <w:rPr>
          <w:rFonts w:asciiTheme="majorHAnsi" w:hAnsiTheme="majorHAnsi"/>
          <w:sz w:val="28"/>
          <w:szCs w:val="28"/>
        </w:rPr>
      </w:pPr>
    </w:p>
    <w:p w14:paraId="145928EF" w14:textId="77777777" w:rsidR="005D24B1" w:rsidRPr="00200825" w:rsidRDefault="005D24B1" w:rsidP="00F92B8A">
      <w:pPr>
        <w:spacing w:after="0"/>
        <w:jc w:val="both"/>
        <w:rPr>
          <w:rFonts w:asciiTheme="majorHAnsi" w:hAnsiTheme="majorHAnsi"/>
          <w:sz w:val="28"/>
          <w:szCs w:val="28"/>
        </w:rPr>
      </w:pPr>
    </w:p>
    <w:p w14:paraId="3B840C27" w14:textId="77777777" w:rsidR="005D24B1" w:rsidRPr="00200825" w:rsidRDefault="005D24B1" w:rsidP="00F92B8A">
      <w:pPr>
        <w:spacing w:after="0"/>
        <w:jc w:val="both"/>
        <w:rPr>
          <w:rFonts w:asciiTheme="majorHAnsi" w:hAnsiTheme="majorHAnsi"/>
          <w:sz w:val="28"/>
          <w:szCs w:val="28"/>
        </w:rPr>
      </w:pPr>
    </w:p>
    <w:p w14:paraId="53D2F7E7" w14:textId="77777777" w:rsidR="005D24B1" w:rsidRPr="00200825" w:rsidRDefault="005D24B1" w:rsidP="00F92B8A">
      <w:pPr>
        <w:spacing w:after="0"/>
        <w:jc w:val="both"/>
        <w:rPr>
          <w:rFonts w:asciiTheme="majorHAnsi" w:hAnsiTheme="majorHAnsi"/>
          <w:sz w:val="28"/>
          <w:szCs w:val="28"/>
        </w:rPr>
      </w:pPr>
    </w:p>
    <w:p w14:paraId="5F7D3A8C" w14:textId="77777777" w:rsidR="005D24B1" w:rsidRPr="00200825" w:rsidRDefault="005D24B1" w:rsidP="00F92B8A">
      <w:pPr>
        <w:spacing w:after="0"/>
        <w:jc w:val="both"/>
        <w:rPr>
          <w:rFonts w:asciiTheme="majorHAnsi" w:hAnsiTheme="majorHAnsi"/>
          <w:sz w:val="28"/>
          <w:szCs w:val="28"/>
        </w:rPr>
      </w:pPr>
    </w:p>
    <w:p w14:paraId="623C00B2" w14:textId="77777777" w:rsidR="005D24B1" w:rsidRPr="00200825" w:rsidRDefault="005D24B1" w:rsidP="00F92B8A">
      <w:pPr>
        <w:spacing w:after="0"/>
        <w:jc w:val="both"/>
        <w:rPr>
          <w:rFonts w:asciiTheme="majorHAnsi" w:hAnsiTheme="majorHAnsi"/>
          <w:sz w:val="28"/>
          <w:szCs w:val="28"/>
        </w:rPr>
      </w:pPr>
    </w:p>
    <w:p w14:paraId="32F3A5D3" w14:textId="77777777" w:rsidR="005D24B1" w:rsidRPr="00200825" w:rsidRDefault="005D24B1" w:rsidP="00F92B8A">
      <w:pPr>
        <w:spacing w:after="0"/>
        <w:jc w:val="both"/>
        <w:rPr>
          <w:rFonts w:asciiTheme="majorHAnsi" w:hAnsiTheme="majorHAnsi"/>
          <w:sz w:val="28"/>
          <w:szCs w:val="28"/>
        </w:rPr>
      </w:pPr>
    </w:p>
    <w:p w14:paraId="482D5E7A" w14:textId="77777777" w:rsidR="005D24B1" w:rsidRPr="00200825" w:rsidRDefault="005D24B1" w:rsidP="00F92B8A">
      <w:pPr>
        <w:spacing w:after="0"/>
        <w:jc w:val="both"/>
        <w:rPr>
          <w:rFonts w:asciiTheme="majorHAnsi" w:hAnsiTheme="majorHAnsi"/>
          <w:sz w:val="28"/>
          <w:szCs w:val="28"/>
        </w:rPr>
      </w:pPr>
    </w:p>
    <w:p w14:paraId="0F8E4B76" w14:textId="77777777" w:rsidR="005D24B1" w:rsidRPr="00200825" w:rsidRDefault="005D24B1" w:rsidP="00F92B8A">
      <w:pPr>
        <w:spacing w:after="0"/>
        <w:jc w:val="both"/>
        <w:rPr>
          <w:rFonts w:asciiTheme="majorHAnsi" w:hAnsiTheme="majorHAnsi"/>
          <w:sz w:val="28"/>
          <w:szCs w:val="28"/>
        </w:rPr>
      </w:pPr>
    </w:p>
    <w:p w14:paraId="60F198E0" w14:textId="77777777" w:rsidR="005D24B1" w:rsidRPr="00200825" w:rsidRDefault="005D24B1" w:rsidP="00F92B8A">
      <w:pPr>
        <w:spacing w:after="0"/>
        <w:jc w:val="both"/>
        <w:rPr>
          <w:rFonts w:asciiTheme="majorHAnsi" w:hAnsiTheme="majorHAnsi"/>
          <w:sz w:val="28"/>
          <w:szCs w:val="28"/>
        </w:rPr>
      </w:pPr>
    </w:p>
    <w:p w14:paraId="2F82AD41" w14:textId="77777777" w:rsidR="005D24B1" w:rsidRPr="00200825" w:rsidRDefault="005D24B1" w:rsidP="00F92B8A">
      <w:pPr>
        <w:spacing w:after="0"/>
        <w:jc w:val="both"/>
        <w:rPr>
          <w:rFonts w:asciiTheme="majorHAnsi" w:hAnsiTheme="majorHAnsi"/>
          <w:sz w:val="28"/>
          <w:szCs w:val="28"/>
        </w:rPr>
      </w:pPr>
    </w:p>
    <w:p w14:paraId="433D7553" w14:textId="77777777" w:rsidR="005D24B1" w:rsidRPr="00200825" w:rsidRDefault="005D24B1" w:rsidP="00F92B8A">
      <w:pPr>
        <w:spacing w:after="0"/>
        <w:jc w:val="both"/>
        <w:rPr>
          <w:rFonts w:asciiTheme="majorHAnsi" w:hAnsiTheme="majorHAnsi"/>
          <w:sz w:val="28"/>
          <w:szCs w:val="28"/>
        </w:rPr>
      </w:pPr>
    </w:p>
    <w:p w14:paraId="27CABB68" w14:textId="77777777" w:rsidR="005D24B1" w:rsidRPr="00200825" w:rsidRDefault="005D24B1" w:rsidP="005D24B1">
      <w:pPr>
        <w:spacing w:after="0"/>
        <w:jc w:val="both"/>
        <w:rPr>
          <w:rFonts w:asciiTheme="majorHAnsi" w:hAnsiTheme="majorHAnsi"/>
          <w:b/>
          <w:sz w:val="28"/>
          <w:szCs w:val="28"/>
        </w:rPr>
      </w:pPr>
      <w:r w:rsidRPr="00200825">
        <w:rPr>
          <w:rFonts w:asciiTheme="majorHAnsi" w:hAnsiTheme="majorHAnsi"/>
          <w:b/>
          <w:sz w:val="28"/>
          <w:szCs w:val="28"/>
        </w:rPr>
        <w:lastRenderedPageBreak/>
        <w:t>АВТОРСТВО</w:t>
      </w:r>
    </w:p>
    <w:p w14:paraId="27845ED9" w14:textId="77777777" w:rsidR="005D24B1" w:rsidRPr="00200825" w:rsidRDefault="005D24B1" w:rsidP="00F92B8A">
      <w:pPr>
        <w:spacing w:after="0"/>
        <w:jc w:val="both"/>
        <w:rPr>
          <w:rFonts w:asciiTheme="majorHAnsi" w:hAnsiTheme="majorHAnsi"/>
          <w:sz w:val="28"/>
          <w:szCs w:val="28"/>
        </w:rPr>
      </w:pPr>
    </w:p>
    <w:p w14:paraId="1C376B0C" w14:textId="77777777" w:rsidR="005D24B1" w:rsidRPr="00200825" w:rsidRDefault="00510819" w:rsidP="00F92B8A">
      <w:pPr>
        <w:spacing w:after="0"/>
        <w:jc w:val="both"/>
        <w:rPr>
          <w:rFonts w:asciiTheme="majorHAnsi" w:hAnsiTheme="majorHAnsi"/>
          <w:sz w:val="28"/>
          <w:szCs w:val="28"/>
        </w:rPr>
      </w:pPr>
      <w:r w:rsidRPr="00200825">
        <w:rPr>
          <w:rFonts w:asciiTheme="majorHAnsi" w:hAnsiTheme="majorHAnsi"/>
          <w:sz w:val="28"/>
          <w:szCs w:val="28"/>
        </w:rPr>
        <w:t>Ця публікація</w:t>
      </w:r>
      <w:r w:rsidR="001545A5" w:rsidRPr="00200825">
        <w:rPr>
          <w:rFonts w:asciiTheme="majorHAnsi" w:hAnsiTheme="majorHAnsi"/>
          <w:sz w:val="28"/>
          <w:szCs w:val="28"/>
        </w:rPr>
        <w:t xml:space="preserve"> підготовлена Комітетом з акредитації ILAC (AIC) і схвалена членами ILAC.</w:t>
      </w:r>
    </w:p>
    <w:p w14:paraId="15127863" w14:textId="77777777" w:rsidR="001545A5" w:rsidRPr="00200825" w:rsidRDefault="001545A5" w:rsidP="00F92B8A">
      <w:pPr>
        <w:spacing w:after="0"/>
        <w:jc w:val="both"/>
        <w:rPr>
          <w:rFonts w:asciiTheme="majorHAnsi" w:hAnsiTheme="majorHAnsi"/>
          <w:sz w:val="28"/>
          <w:szCs w:val="28"/>
        </w:rPr>
      </w:pPr>
    </w:p>
    <w:p w14:paraId="00A13D51" w14:textId="77777777" w:rsidR="001545A5" w:rsidRPr="00200825" w:rsidRDefault="001545A5" w:rsidP="001545A5">
      <w:pPr>
        <w:spacing w:after="0"/>
        <w:jc w:val="both"/>
        <w:rPr>
          <w:rFonts w:asciiTheme="majorHAnsi" w:hAnsiTheme="majorHAnsi"/>
          <w:b/>
          <w:sz w:val="28"/>
          <w:szCs w:val="28"/>
        </w:rPr>
      </w:pPr>
      <w:r w:rsidRPr="00200825">
        <w:rPr>
          <w:rFonts w:asciiTheme="majorHAnsi" w:hAnsiTheme="majorHAnsi"/>
          <w:b/>
          <w:sz w:val="28"/>
          <w:szCs w:val="28"/>
        </w:rPr>
        <w:t>ПРОЦЕДУРА</w:t>
      </w:r>
    </w:p>
    <w:p w14:paraId="44BA0D9D" w14:textId="77777777" w:rsidR="0053403F" w:rsidRPr="00200825" w:rsidRDefault="0053403F" w:rsidP="001545A5">
      <w:pPr>
        <w:spacing w:after="0"/>
        <w:jc w:val="both"/>
        <w:rPr>
          <w:rFonts w:asciiTheme="majorHAnsi" w:hAnsiTheme="majorHAnsi"/>
          <w:b/>
          <w:sz w:val="28"/>
          <w:szCs w:val="28"/>
        </w:rPr>
      </w:pPr>
    </w:p>
    <w:p w14:paraId="30A91AED" w14:textId="77777777" w:rsidR="001545A5" w:rsidRPr="00200825" w:rsidRDefault="001545A5" w:rsidP="001545A5">
      <w:pPr>
        <w:pStyle w:val="a3"/>
        <w:numPr>
          <w:ilvl w:val="0"/>
          <w:numId w:val="4"/>
        </w:numPr>
        <w:spacing w:after="0"/>
        <w:jc w:val="both"/>
        <w:rPr>
          <w:rFonts w:asciiTheme="majorHAnsi" w:hAnsiTheme="majorHAnsi"/>
          <w:b/>
          <w:sz w:val="28"/>
          <w:szCs w:val="28"/>
        </w:rPr>
      </w:pPr>
      <w:r w:rsidRPr="00200825">
        <w:rPr>
          <w:rFonts w:asciiTheme="majorHAnsi" w:hAnsiTheme="majorHAnsi"/>
          <w:b/>
          <w:sz w:val="28"/>
          <w:szCs w:val="28"/>
        </w:rPr>
        <w:t>Вступ</w:t>
      </w:r>
    </w:p>
    <w:p w14:paraId="627AC1B3" w14:textId="77777777" w:rsidR="00510819" w:rsidRPr="00200825" w:rsidRDefault="00510819" w:rsidP="00510819">
      <w:pPr>
        <w:pStyle w:val="a3"/>
        <w:spacing w:after="0"/>
        <w:jc w:val="both"/>
        <w:rPr>
          <w:rFonts w:asciiTheme="majorHAnsi" w:hAnsiTheme="majorHAnsi"/>
          <w:b/>
          <w:sz w:val="28"/>
          <w:szCs w:val="28"/>
        </w:rPr>
      </w:pPr>
    </w:p>
    <w:p w14:paraId="1A65D46F" w14:textId="77777777" w:rsidR="001545A5" w:rsidRPr="00200825" w:rsidRDefault="00C61C7C" w:rsidP="001545A5">
      <w:pPr>
        <w:pStyle w:val="a3"/>
        <w:spacing w:after="0"/>
        <w:jc w:val="both"/>
        <w:rPr>
          <w:rFonts w:asciiTheme="majorHAnsi" w:hAnsiTheme="majorHAnsi"/>
          <w:sz w:val="28"/>
          <w:szCs w:val="28"/>
        </w:rPr>
      </w:pPr>
      <w:r w:rsidRPr="00200825">
        <w:rPr>
          <w:rFonts w:asciiTheme="majorHAnsi" w:hAnsiTheme="majorHAnsi"/>
          <w:sz w:val="28"/>
          <w:szCs w:val="28"/>
        </w:rPr>
        <w:t>ISO/IEC 17025</w:t>
      </w:r>
      <w:r w:rsidR="001545A5" w:rsidRPr="00200825">
        <w:rPr>
          <w:rFonts w:asciiTheme="majorHAnsi" w:hAnsiTheme="majorHAnsi"/>
          <w:sz w:val="28"/>
          <w:szCs w:val="28"/>
          <w:vertAlign w:val="superscript"/>
        </w:rPr>
        <w:t>[3]</w:t>
      </w:r>
      <w:r w:rsidR="001545A5" w:rsidRPr="00200825">
        <w:rPr>
          <w:rFonts w:asciiTheme="majorHAnsi" w:hAnsiTheme="majorHAnsi"/>
          <w:sz w:val="28"/>
          <w:szCs w:val="28"/>
        </w:rPr>
        <w:t xml:space="preserve"> вимагає, щоб лабораторії оцінювали </w:t>
      </w:r>
      <w:r w:rsidR="0070685E">
        <w:rPr>
          <w:rFonts w:asciiTheme="majorHAnsi" w:hAnsiTheme="majorHAnsi"/>
          <w:sz w:val="28"/>
          <w:szCs w:val="28"/>
        </w:rPr>
        <w:t>непевність</w:t>
      </w:r>
      <w:r w:rsidR="001545A5" w:rsidRPr="00200825">
        <w:rPr>
          <w:rFonts w:asciiTheme="majorHAnsi" w:hAnsiTheme="majorHAnsi"/>
          <w:sz w:val="28"/>
          <w:szCs w:val="28"/>
        </w:rPr>
        <w:t xml:space="preserve"> вимірювання для всіх </w:t>
      </w:r>
      <w:r w:rsidR="00597C89" w:rsidRPr="00200825">
        <w:rPr>
          <w:rFonts w:asciiTheme="majorHAnsi" w:hAnsiTheme="majorHAnsi"/>
          <w:sz w:val="28"/>
          <w:szCs w:val="28"/>
        </w:rPr>
        <w:t xml:space="preserve">робіт з </w:t>
      </w:r>
      <w:r w:rsidR="001545A5" w:rsidRPr="00200825">
        <w:rPr>
          <w:rFonts w:asciiTheme="majorHAnsi" w:hAnsiTheme="majorHAnsi"/>
          <w:sz w:val="28"/>
          <w:szCs w:val="28"/>
        </w:rPr>
        <w:t>калібрування.</w:t>
      </w:r>
      <w:r w:rsidR="00597C89" w:rsidRPr="00200825">
        <w:rPr>
          <w:rFonts w:asciiTheme="majorHAnsi" w:hAnsiTheme="majorHAnsi"/>
          <w:sz w:val="28"/>
          <w:szCs w:val="28"/>
        </w:rPr>
        <w:t xml:space="preserve"> </w:t>
      </w:r>
    </w:p>
    <w:p w14:paraId="4F936916" w14:textId="77777777" w:rsidR="00597C89" w:rsidRPr="00200825" w:rsidRDefault="00597C89" w:rsidP="001545A5">
      <w:pPr>
        <w:pStyle w:val="a3"/>
        <w:spacing w:after="0"/>
        <w:jc w:val="both"/>
        <w:rPr>
          <w:rFonts w:asciiTheme="majorHAnsi" w:hAnsiTheme="majorHAnsi"/>
          <w:sz w:val="28"/>
          <w:szCs w:val="28"/>
        </w:rPr>
      </w:pPr>
    </w:p>
    <w:p w14:paraId="653344C3" w14:textId="77777777" w:rsidR="00597C89" w:rsidRPr="00200825" w:rsidRDefault="00597C89" w:rsidP="001545A5">
      <w:pPr>
        <w:pStyle w:val="a3"/>
        <w:spacing w:after="0"/>
        <w:jc w:val="both"/>
        <w:rPr>
          <w:rFonts w:asciiTheme="majorHAnsi" w:hAnsiTheme="majorHAnsi"/>
          <w:sz w:val="28"/>
          <w:szCs w:val="28"/>
        </w:rPr>
      </w:pPr>
      <w:r w:rsidRPr="00200825">
        <w:rPr>
          <w:rFonts w:asciiTheme="majorHAnsi" w:hAnsiTheme="majorHAnsi"/>
          <w:sz w:val="28"/>
          <w:szCs w:val="28"/>
        </w:rPr>
        <w:t>ISO 15195</w:t>
      </w:r>
      <w:r w:rsidRPr="00200825">
        <w:rPr>
          <w:rFonts w:asciiTheme="majorHAnsi" w:hAnsiTheme="majorHAnsi"/>
          <w:sz w:val="28"/>
          <w:szCs w:val="28"/>
          <w:vertAlign w:val="superscript"/>
        </w:rPr>
        <w:t>[4]</w:t>
      </w:r>
      <w:r w:rsidRPr="00200825">
        <w:rPr>
          <w:rFonts w:asciiTheme="majorHAnsi" w:hAnsiTheme="majorHAnsi"/>
          <w:sz w:val="28"/>
          <w:szCs w:val="28"/>
        </w:rPr>
        <w:t xml:space="preserve"> та ISO 17034</w:t>
      </w:r>
      <w:r w:rsidRPr="00200825">
        <w:rPr>
          <w:rFonts w:asciiTheme="majorHAnsi" w:hAnsiTheme="majorHAnsi"/>
          <w:sz w:val="28"/>
          <w:szCs w:val="28"/>
          <w:vertAlign w:val="superscript"/>
        </w:rPr>
        <w:t>[5]</w:t>
      </w:r>
      <w:r w:rsidRPr="00200825">
        <w:rPr>
          <w:rFonts w:asciiTheme="majorHAnsi" w:hAnsiTheme="majorHAnsi"/>
          <w:sz w:val="28"/>
          <w:szCs w:val="28"/>
        </w:rPr>
        <w:t xml:space="preserve"> мають подібні вимоги до </w:t>
      </w:r>
      <w:r w:rsidR="008C6F3D" w:rsidRPr="00200825">
        <w:rPr>
          <w:rFonts w:asciiTheme="majorHAnsi" w:hAnsiTheme="majorHAnsi"/>
          <w:sz w:val="28"/>
          <w:szCs w:val="28"/>
        </w:rPr>
        <w:t xml:space="preserve">референтних </w:t>
      </w:r>
      <w:r w:rsidR="00544568" w:rsidRPr="00200825">
        <w:rPr>
          <w:rFonts w:asciiTheme="majorHAnsi" w:hAnsiTheme="majorHAnsi"/>
          <w:sz w:val="28"/>
          <w:szCs w:val="28"/>
        </w:rPr>
        <w:t xml:space="preserve"> вимірювальних </w:t>
      </w:r>
      <w:r w:rsidRPr="00200825">
        <w:rPr>
          <w:rFonts w:asciiTheme="majorHAnsi" w:hAnsiTheme="majorHAnsi"/>
          <w:sz w:val="28"/>
          <w:szCs w:val="28"/>
        </w:rPr>
        <w:t xml:space="preserve"> лабораторій та виробників</w:t>
      </w:r>
      <w:r w:rsidR="008C6F3D" w:rsidRPr="00200825">
        <w:rPr>
          <w:rFonts w:asciiTheme="majorHAnsi" w:hAnsiTheme="majorHAnsi"/>
          <w:sz w:val="28"/>
          <w:szCs w:val="28"/>
        </w:rPr>
        <w:t xml:space="preserve"> </w:t>
      </w:r>
      <w:r w:rsidR="00544568" w:rsidRPr="00200825">
        <w:rPr>
          <w:rFonts w:asciiTheme="majorHAnsi" w:hAnsiTheme="majorHAnsi"/>
          <w:sz w:val="28"/>
          <w:szCs w:val="28"/>
        </w:rPr>
        <w:t>референтних матеріалів</w:t>
      </w:r>
      <w:r w:rsidRPr="00200825">
        <w:rPr>
          <w:rFonts w:asciiTheme="majorHAnsi" w:hAnsiTheme="majorHAnsi"/>
          <w:sz w:val="28"/>
          <w:szCs w:val="28"/>
        </w:rPr>
        <w:t>.</w:t>
      </w:r>
    </w:p>
    <w:p w14:paraId="7AE1C986" w14:textId="77777777" w:rsidR="0053403F" w:rsidRPr="00200825" w:rsidRDefault="0053403F" w:rsidP="001545A5">
      <w:pPr>
        <w:pStyle w:val="a3"/>
        <w:spacing w:after="0"/>
        <w:jc w:val="both"/>
        <w:rPr>
          <w:rFonts w:asciiTheme="majorHAnsi" w:hAnsiTheme="majorHAnsi"/>
          <w:sz w:val="28"/>
          <w:szCs w:val="28"/>
        </w:rPr>
      </w:pPr>
    </w:p>
    <w:p w14:paraId="42FD0DF8" w14:textId="77777777" w:rsidR="0053403F" w:rsidRPr="00200825" w:rsidRDefault="0053403F" w:rsidP="000E03FC">
      <w:pPr>
        <w:pStyle w:val="a3"/>
        <w:spacing w:after="0"/>
        <w:jc w:val="both"/>
        <w:rPr>
          <w:rFonts w:asciiTheme="majorHAnsi" w:hAnsiTheme="majorHAnsi"/>
          <w:sz w:val="28"/>
          <w:szCs w:val="28"/>
        </w:rPr>
      </w:pPr>
      <w:r w:rsidRPr="00200825">
        <w:rPr>
          <w:rFonts w:asciiTheme="majorHAnsi" w:hAnsiTheme="majorHAnsi"/>
          <w:sz w:val="28"/>
          <w:szCs w:val="28"/>
        </w:rPr>
        <w:t xml:space="preserve">Конкретні поради щодо оцінки </w:t>
      </w:r>
      <w:r w:rsidR="00E718D9">
        <w:rPr>
          <w:rFonts w:asciiTheme="majorHAnsi" w:hAnsiTheme="majorHAnsi"/>
          <w:sz w:val="28"/>
          <w:szCs w:val="28"/>
        </w:rPr>
        <w:t>непевності</w:t>
      </w:r>
      <w:r w:rsidR="003B7618" w:rsidRPr="00200825">
        <w:rPr>
          <w:rFonts w:asciiTheme="majorHAnsi" w:hAnsiTheme="majorHAnsi"/>
          <w:sz w:val="28"/>
          <w:szCs w:val="28"/>
        </w:rPr>
        <w:t xml:space="preserve"> вимірювання можна знайти в Настанові</w:t>
      </w:r>
      <w:r w:rsidRPr="00200825">
        <w:rPr>
          <w:rFonts w:asciiTheme="majorHAnsi" w:hAnsiTheme="majorHAnsi"/>
          <w:sz w:val="28"/>
          <w:szCs w:val="28"/>
        </w:rPr>
        <w:t xml:space="preserve"> щодо  подан</w:t>
      </w:r>
      <w:r w:rsidR="003B7618" w:rsidRPr="00200825">
        <w:rPr>
          <w:rFonts w:asciiTheme="majorHAnsi" w:hAnsiTheme="majorHAnsi"/>
          <w:sz w:val="28"/>
          <w:szCs w:val="28"/>
        </w:rPr>
        <w:t xml:space="preserve">ня </w:t>
      </w:r>
      <w:r w:rsidR="0070685E">
        <w:rPr>
          <w:rFonts w:asciiTheme="majorHAnsi" w:hAnsiTheme="majorHAnsi"/>
          <w:sz w:val="28"/>
          <w:szCs w:val="28"/>
        </w:rPr>
        <w:t>непевність</w:t>
      </w:r>
      <w:r w:rsidR="003B7618" w:rsidRPr="00200825">
        <w:rPr>
          <w:rFonts w:asciiTheme="majorHAnsi" w:hAnsiTheme="majorHAnsi"/>
          <w:sz w:val="28"/>
          <w:szCs w:val="28"/>
        </w:rPr>
        <w:t xml:space="preserve"> у вимірюванні</w:t>
      </w:r>
      <w:r w:rsidRPr="00200825">
        <w:rPr>
          <w:rFonts w:asciiTheme="majorHAnsi" w:hAnsiTheme="majorHAnsi"/>
          <w:sz w:val="28"/>
          <w:szCs w:val="28"/>
        </w:rPr>
        <w:t xml:space="preserve"> (GUM) </w:t>
      </w:r>
      <w:r w:rsidRPr="00200825">
        <w:rPr>
          <w:rFonts w:asciiTheme="majorHAnsi" w:hAnsiTheme="majorHAnsi"/>
          <w:sz w:val="28"/>
          <w:szCs w:val="28"/>
          <w:vertAlign w:val="superscript"/>
        </w:rPr>
        <w:t>[6][8]</w:t>
      </w:r>
      <w:r w:rsidR="00E718D9">
        <w:rPr>
          <w:rFonts w:asciiTheme="majorHAnsi" w:hAnsiTheme="majorHAnsi"/>
          <w:sz w:val="28"/>
          <w:szCs w:val="28"/>
        </w:rPr>
        <w:t>, у</w:t>
      </w:r>
      <w:r w:rsidRPr="00200825">
        <w:rPr>
          <w:rFonts w:asciiTheme="majorHAnsi" w:hAnsiTheme="majorHAnsi"/>
          <w:sz w:val="28"/>
          <w:szCs w:val="28"/>
        </w:rPr>
        <w:t>перше опубл</w:t>
      </w:r>
      <w:r w:rsidR="00510819" w:rsidRPr="00200825">
        <w:rPr>
          <w:rFonts w:asciiTheme="majorHAnsi" w:hAnsiTheme="majorHAnsi"/>
          <w:sz w:val="28"/>
          <w:szCs w:val="28"/>
        </w:rPr>
        <w:t>ікованій</w:t>
      </w:r>
      <w:r w:rsidR="00610659" w:rsidRPr="00200825">
        <w:rPr>
          <w:rFonts w:asciiTheme="majorHAnsi" w:hAnsiTheme="majorHAnsi"/>
          <w:sz w:val="28"/>
          <w:szCs w:val="28"/>
        </w:rPr>
        <w:t xml:space="preserve"> в</w:t>
      </w:r>
      <w:r w:rsidR="000E03FC" w:rsidRPr="00200825">
        <w:rPr>
          <w:rFonts w:asciiTheme="majorHAnsi" w:hAnsiTheme="majorHAnsi"/>
          <w:sz w:val="28"/>
          <w:szCs w:val="28"/>
        </w:rPr>
        <w:t xml:space="preserve"> 1993 році від імені </w:t>
      </w:r>
      <w:r w:rsidRPr="00200825">
        <w:rPr>
          <w:rFonts w:asciiTheme="majorHAnsi" w:hAnsiTheme="majorHAnsi"/>
          <w:sz w:val="28"/>
          <w:szCs w:val="28"/>
        </w:rPr>
        <w:t xml:space="preserve">BIPM, Міжнародної електротехнічної комісії (IEC), Міжнародної федерації клінічної хімії (IFCC), Міжнародного співробітництва з акредитації лабораторій (ILAC), Міжнародної організації стандартизації (ISO), Міжнародного союзу </w:t>
      </w:r>
      <w:r w:rsidR="000E03FC" w:rsidRPr="00200825">
        <w:rPr>
          <w:rFonts w:asciiTheme="majorHAnsi" w:hAnsiTheme="majorHAnsi"/>
          <w:sz w:val="28"/>
          <w:szCs w:val="28"/>
        </w:rPr>
        <w:t>фундаментальної та прикладної хімії (IUPAC), Міжнародного</w:t>
      </w:r>
      <w:r w:rsidRPr="00200825">
        <w:rPr>
          <w:rFonts w:asciiTheme="majorHAnsi" w:hAnsiTheme="majorHAnsi"/>
          <w:sz w:val="28"/>
          <w:szCs w:val="28"/>
        </w:rPr>
        <w:t xml:space="preserve"> союз</w:t>
      </w:r>
      <w:r w:rsidR="000E03FC" w:rsidRPr="00200825">
        <w:rPr>
          <w:rFonts w:asciiTheme="majorHAnsi" w:hAnsiTheme="majorHAnsi"/>
          <w:sz w:val="28"/>
          <w:szCs w:val="28"/>
        </w:rPr>
        <w:t>у</w:t>
      </w:r>
      <w:r w:rsidRPr="00200825">
        <w:rPr>
          <w:rFonts w:asciiTheme="majorHAnsi" w:hAnsiTheme="majorHAnsi"/>
          <w:sz w:val="28"/>
          <w:szCs w:val="28"/>
        </w:rPr>
        <w:t xml:space="preserve"> </w:t>
      </w:r>
      <w:r w:rsidR="000E03FC" w:rsidRPr="00200825">
        <w:rPr>
          <w:rFonts w:asciiTheme="majorHAnsi" w:hAnsiTheme="majorHAnsi"/>
          <w:sz w:val="28"/>
          <w:szCs w:val="28"/>
        </w:rPr>
        <w:t>чистої</w:t>
      </w:r>
      <w:r w:rsidRPr="00200825">
        <w:rPr>
          <w:rFonts w:asciiTheme="majorHAnsi" w:hAnsiTheme="majorHAnsi"/>
          <w:sz w:val="28"/>
          <w:szCs w:val="28"/>
        </w:rPr>
        <w:t xml:space="preserve"> та приклад</w:t>
      </w:r>
      <w:r w:rsidR="000E03FC" w:rsidRPr="00200825">
        <w:rPr>
          <w:rFonts w:asciiTheme="majorHAnsi" w:hAnsiTheme="majorHAnsi"/>
          <w:sz w:val="28"/>
          <w:szCs w:val="28"/>
        </w:rPr>
        <w:t>ної фізики (IUPAP) та Міжнародної організації</w:t>
      </w:r>
      <w:r w:rsidRPr="00200825">
        <w:rPr>
          <w:rFonts w:asciiTheme="majorHAnsi" w:hAnsiTheme="majorHAnsi"/>
          <w:sz w:val="28"/>
          <w:szCs w:val="28"/>
        </w:rPr>
        <w:t xml:space="preserve"> законодавчої метрології (OIML).</w:t>
      </w:r>
      <w:r w:rsidR="00FC3D74" w:rsidRPr="00200825">
        <w:rPr>
          <w:rFonts w:asciiTheme="majorHAnsi" w:hAnsiTheme="majorHAnsi"/>
          <w:sz w:val="28"/>
          <w:szCs w:val="28"/>
        </w:rPr>
        <w:t xml:space="preserve"> GUM та супровідні документи [8] встановлюють загальні правила для оцінювання та </w:t>
      </w:r>
      <w:r w:rsidR="00610659" w:rsidRPr="00200825">
        <w:rPr>
          <w:rFonts w:asciiTheme="majorHAnsi" w:hAnsiTheme="majorHAnsi"/>
          <w:sz w:val="28"/>
          <w:szCs w:val="28"/>
        </w:rPr>
        <w:t xml:space="preserve">вираження </w:t>
      </w:r>
      <w:r w:rsidR="0070685E">
        <w:rPr>
          <w:rFonts w:asciiTheme="majorHAnsi" w:hAnsiTheme="majorHAnsi"/>
          <w:sz w:val="28"/>
          <w:szCs w:val="28"/>
        </w:rPr>
        <w:t>непевність</w:t>
      </w:r>
      <w:r w:rsidR="00623C56" w:rsidRPr="00200825">
        <w:rPr>
          <w:rFonts w:asciiTheme="majorHAnsi" w:hAnsiTheme="majorHAnsi"/>
          <w:sz w:val="28"/>
          <w:szCs w:val="28"/>
        </w:rPr>
        <w:t xml:space="preserve"> у вимірюванні</w:t>
      </w:r>
      <w:r w:rsidR="00FC3D74" w:rsidRPr="00200825">
        <w:rPr>
          <w:rFonts w:asciiTheme="majorHAnsi" w:hAnsiTheme="majorHAnsi"/>
          <w:sz w:val="28"/>
          <w:szCs w:val="28"/>
        </w:rPr>
        <w:t>, яких можна дотримуватися в більшості областей вимірювань.</w:t>
      </w:r>
      <w:r w:rsidR="003848BD" w:rsidRPr="00200825">
        <w:rPr>
          <w:rFonts w:asciiTheme="majorHAnsi" w:hAnsiTheme="majorHAnsi"/>
          <w:sz w:val="28"/>
          <w:szCs w:val="28"/>
        </w:rPr>
        <w:t xml:space="preserve"> GUM описує однозначний та гармонізований спосіб </w:t>
      </w:r>
      <w:r w:rsidR="00510819" w:rsidRPr="00200825">
        <w:rPr>
          <w:rFonts w:asciiTheme="majorHAnsi" w:hAnsiTheme="majorHAnsi"/>
          <w:sz w:val="28"/>
          <w:szCs w:val="28"/>
        </w:rPr>
        <w:t>оцінки та вираження</w:t>
      </w:r>
      <w:r w:rsidR="003848BD" w:rsidRPr="00200825">
        <w:rPr>
          <w:rFonts w:asciiTheme="majorHAnsi" w:hAnsiTheme="majorHAnsi"/>
          <w:sz w:val="28"/>
          <w:szCs w:val="28"/>
        </w:rPr>
        <w:t xml:space="preserve"> </w:t>
      </w:r>
      <w:r w:rsidR="0070685E">
        <w:rPr>
          <w:rFonts w:asciiTheme="majorHAnsi" w:hAnsiTheme="majorHAnsi"/>
          <w:sz w:val="28"/>
          <w:szCs w:val="28"/>
        </w:rPr>
        <w:t>непевність</w:t>
      </w:r>
      <w:r w:rsidR="003848BD" w:rsidRPr="00200825">
        <w:rPr>
          <w:rFonts w:asciiTheme="majorHAnsi" w:hAnsiTheme="majorHAnsi"/>
          <w:sz w:val="28"/>
          <w:szCs w:val="28"/>
        </w:rPr>
        <w:t xml:space="preserve"> вимірювання. Багато органів з акредитації, а також регіональні співробітництва опублікували документи з обов’язковими критеріями та </w:t>
      </w:r>
      <w:r w:rsidR="00165F67" w:rsidRPr="00200825">
        <w:rPr>
          <w:rFonts w:asciiTheme="majorHAnsi" w:hAnsiTheme="majorHAnsi"/>
          <w:sz w:val="28"/>
          <w:szCs w:val="28"/>
        </w:rPr>
        <w:t>рекомендаціями</w:t>
      </w:r>
      <w:r w:rsidR="003848BD" w:rsidRPr="00200825">
        <w:rPr>
          <w:rFonts w:asciiTheme="majorHAnsi" w:hAnsiTheme="majorHAnsi"/>
          <w:sz w:val="28"/>
          <w:szCs w:val="28"/>
        </w:rPr>
        <w:t xml:space="preserve"> щодо </w:t>
      </w:r>
      <w:r w:rsidR="00E718D9">
        <w:rPr>
          <w:rFonts w:asciiTheme="majorHAnsi" w:hAnsiTheme="majorHAnsi"/>
          <w:sz w:val="28"/>
          <w:szCs w:val="28"/>
        </w:rPr>
        <w:t>непевності</w:t>
      </w:r>
      <w:r w:rsidR="003848BD" w:rsidRPr="00200825">
        <w:rPr>
          <w:rFonts w:asciiTheme="majorHAnsi" w:hAnsiTheme="majorHAnsi"/>
          <w:sz w:val="28"/>
          <w:szCs w:val="28"/>
        </w:rPr>
        <w:t xml:space="preserve"> вимірювання, узгоджені з GUM, щоб допомогти лабораторіям імплементувати  критерії та </w:t>
      </w:r>
      <w:r w:rsidR="00165F67" w:rsidRPr="00200825">
        <w:rPr>
          <w:rFonts w:asciiTheme="majorHAnsi" w:hAnsiTheme="majorHAnsi"/>
          <w:sz w:val="28"/>
          <w:szCs w:val="28"/>
        </w:rPr>
        <w:t>рекомендації</w:t>
      </w:r>
      <w:r w:rsidR="003848BD" w:rsidRPr="00200825">
        <w:rPr>
          <w:rFonts w:asciiTheme="majorHAnsi" w:hAnsiTheme="majorHAnsi"/>
          <w:sz w:val="28"/>
          <w:szCs w:val="28"/>
        </w:rPr>
        <w:t>.</w:t>
      </w:r>
      <w:r w:rsidR="00165F67" w:rsidRPr="00200825">
        <w:rPr>
          <w:rFonts w:asciiTheme="majorHAnsi" w:hAnsiTheme="majorHAnsi"/>
          <w:sz w:val="28"/>
          <w:szCs w:val="28"/>
        </w:rPr>
        <w:t xml:space="preserve"> Деякі приклади керівних документів наведено в Розділі 7 цієї Політики.</w:t>
      </w:r>
    </w:p>
    <w:p w14:paraId="010DB957" w14:textId="77777777" w:rsidR="00883887" w:rsidRPr="00200825" w:rsidRDefault="00883887" w:rsidP="000E03FC">
      <w:pPr>
        <w:pStyle w:val="a3"/>
        <w:spacing w:after="0"/>
        <w:jc w:val="both"/>
        <w:rPr>
          <w:rFonts w:asciiTheme="majorHAnsi" w:hAnsiTheme="majorHAnsi"/>
          <w:sz w:val="28"/>
          <w:szCs w:val="28"/>
        </w:rPr>
      </w:pPr>
    </w:p>
    <w:p w14:paraId="068BF4B5" w14:textId="77777777" w:rsidR="00883887" w:rsidRPr="00200825" w:rsidRDefault="00883887" w:rsidP="00883887">
      <w:pPr>
        <w:pStyle w:val="a3"/>
        <w:numPr>
          <w:ilvl w:val="0"/>
          <w:numId w:val="4"/>
        </w:numPr>
        <w:spacing w:after="0"/>
        <w:jc w:val="both"/>
        <w:rPr>
          <w:rFonts w:asciiTheme="majorHAnsi" w:hAnsiTheme="majorHAnsi"/>
          <w:b/>
          <w:sz w:val="28"/>
          <w:szCs w:val="28"/>
        </w:rPr>
      </w:pPr>
      <w:r w:rsidRPr="00200825">
        <w:rPr>
          <w:rFonts w:asciiTheme="majorHAnsi" w:hAnsiTheme="majorHAnsi"/>
          <w:b/>
          <w:sz w:val="28"/>
          <w:szCs w:val="28"/>
        </w:rPr>
        <w:t>Терміни та визначення</w:t>
      </w:r>
    </w:p>
    <w:p w14:paraId="42377CC7" w14:textId="77777777" w:rsidR="0075608F" w:rsidRPr="00200825" w:rsidRDefault="0075608F" w:rsidP="0075608F">
      <w:pPr>
        <w:pStyle w:val="a3"/>
        <w:spacing w:after="0"/>
        <w:jc w:val="both"/>
        <w:rPr>
          <w:rFonts w:asciiTheme="majorHAnsi" w:hAnsiTheme="majorHAnsi"/>
          <w:b/>
          <w:sz w:val="28"/>
          <w:szCs w:val="28"/>
        </w:rPr>
      </w:pPr>
    </w:p>
    <w:p w14:paraId="65BAA608" w14:textId="77777777" w:rsidR="00883887" w:rsidRPr="00200825" w:rsidRDefault="00883887" w:rsidP="00310706">
      <w:pPr>
        <w:pStyle w:val="a3"/>
        <w:spacing w:after="0"/>
        <w:jc w:val="both"/>
        <w:rPr>
          <w:rFonts w:asciiTheme="majorHAnsi" w:hAnsiTheme="majorHAnsi"/>
          <w:sz w:val="28"/>
          <w:szCs w:val="28"/>
        </w:rPr>
      </w:pPr>
      <w:r w:rsidRPr="00200825">
        <w:rPr>
          <w:rFonts w:asciiTheme="majorHAnsi" w:hAnsiTheme="majorHAnsi"/>
          <w:sz w:val="28"/>
          <w:szCs w:val="28"/>
        </w:rPr>
        <w:t>Для цього документа застосовують відповідні терміни та визначення, наведені в «Міжнародному словнику метрології – Основні та Загальні поняття та пов’язані з ними терміни» (VIM) [9], а також:</w:t>
      </w:r>
    </w:p>
    <w:p w14:paraId="4480634A" w14:textId="77777777" w:rsidR="00310706" w:rsidRPr="00200825" w:rsidRDefault="00310706" w:rsidP="00310706">
      <w:pPr>
        <w:pStyle w:val="a3"/>
        <w:spacing w:after="0"/>
        <w:jc w:val="both"/>
        <w:rPr>
          <w:rFonts w:asciiTheme="majorHAnsi" w:hAnsiTheme="majorHAnsi"/>
          <w:b/>
          <w:sz w:val="28"/>
          <w:szCs w:val="28"/>
        </w:rPr>
      </w:pPr>
    </w:p>
    <w:p w14:paraId="0C6DD452" w14:textId="77777777" w:rsidR="00310706" w:rsidRPr="00200825" w:rsidRDefault="008174F9" w:rsidP="008174F9">
      <w:pPr>
        <w:pStyle w:val="a3"/>
        <w:numPr>
          <w:ilvl w:val="1"/>
          <w:numId w:val="4"/>
        </w:numPr>
        <w:spacing w:after="0"/>
        <w:jc w:val="both"/>
        <w:rPr>
          <w:rFonts w:asciiTheme="majorHAnsi" w:hAnsiTheme="majorHAnsi"/>
          <w:b/>
          <w:sz w:val="28"/>
          <w:szCs w:val="28"/>
        </w:rPr>
      </w:pPr>
      <w:r w:rsidRPr="00200825">
        <w:rPr>
          <w:rFonts w:asciiTheme="majorHAnsi" w:hAnsiTheme="majorHAnsi"/>
          <w:b/>
          <w:sz w:val="28"/>
          <w:szCs w:val="28"/>
        </w:rPr>
        <w:t>Калібрувальна та вимірювальна можливість</w:t>
      </w:r>
    </w:p>
    <w:p w14:paraId="6C76F75F" w14:textId="77777777" w:rsidR="00510819" w:rsidRPr="00200825" w:rsidRDefault="00510819" w:rsidP="00510819">
      <w:pPr>
        <w:pStyle w:val="a3"/>
        <w:spacing w:after="0"/>
        <w:ind w:left="1130"/>
        <w:jc w:val="both"/>
        <w:rPr>
          <w:rFonts w:asciiTheme="majorHAnsi" w:hAnsiTheme="majorHAnsi"/>
          <w:b/>
          <w:sz w:val="28"/>
          <w:szCs w:val="28"/>
        </w:rPr>
      </w:pPr>
    </w:p>
    <w:p w14:paraId="2AFCF073" w14:textId="77777777" w:rsidR="008174F9" w:rsidRPr="00200825" w:rsidRDefault="008174F9" w:rsidP="008174F9">
      <w:pPr>
        <w:spacing w:after="0"/>
        <w:ind w:left="720"/>
        <w:jc w:val="both"/>
        <w:rPr>
          <w:rFonts w:asciiTheme="majorHAnsi" w:hAnsiTheme="majorHAnsi"/>
          <w:sz w:val="28"/>
          <w:szCs w:val="28"/>
        </w:rPr>
      </w:pPr>
      <w:r w:rsidRPr="00200825">
        <w:rPr>
          <w:rFonts w:asciiTheme="majorHAnsi" w:hAnsiTheme="majorHAnsi"/>
          <w:sz w:val="28"/>
          <w:szCs w:val="28"/>
        </w:rPr>
        <w:t>У контексті CIPM MRA та Угоди ILAC, а також відповідно до Спільної заяви CIPM-ILAC узгоджено таке визначення:</w:t>
      </w:r>
    </w:p>
    <w:p w14:paraId="44A125D9" w14:textId="77777777" w:rsidR="006801DA" w:rsidRPr="00200825" w:rsidRDefault="006801DA" w:rsidP="008174F9">
      <w:pPr>
        <w:spacing w:after="0"/>
        <w:ind w:left="720"/>
        <w:jc w:val="both"/>
        <w:rPr>
          <w:rFonts w:asciiTheme="majorHAnsi" w:hAnsiTheme="majorHAnsi"/>
          <w:sz w:val="28"/>
          <w:szCs w:val="28"/>
        </w:rPr>
      </w:pPr>
    </w:p>
    <w:p w14:paraId="7535C6E7" w14:textId="77777777" w:rsidR="006801DA" w:rsidRPr="00200825" w:rsidRDefault="006801DA" w:rsidP="008174F9">
      <w:pPr>
        <w:spacing w:after="0"/>
        <w:ind w:left="720"/>
        <w:jc w:val="both"/>
        <w:rPr>
          <w:rFonts w:asciiTheme="majorHAnsi" w:hAnsiTheme="majorHAnsi"/>
          <w:sz w:val="28"/>
          <w:szCs w:val="28"/>
        </w:rPr>
      </w:pPr>
      <w:r w:rsidRPr="00200825">
        <w:rPr>
          <w:rFonts w:asciiTheme="majorHAnsi" w:hAnsiTheme="majorHAnsi"/>
          <w:sz w:val="28"/>
          <w:szCs w:val="28"/>
        </w:rPr>
        <w:t xml:space="preserve">CMC - це калібрувальна та вимірювальна можливість, доступна </w:t>
      </w:r>
      <w:r w:rsidR="00844B20" w:rsidRPr="00200825">
        <w:rPr>
          <w:rFonts w:asciiTheme="majorHAnsi" w:hAnsiTheme="majorHAnsi"/>
          <w:sz w:val="28"/>
          <w:szCs w:val="28"/>
        </w:rPr>
        <w:t xml:space="preserve">замовникам </w:t>
      </w:r>
      <w:r w:rsidRPr="00200825">
        <w:rPr>
          <w:rFonts w:asciiTheme="majorHAnsi" w:hAnsiTheme="majorHAnsi"/>
          <w:sz w:val="28"/>
          <w:szCs w:val="28"/>
        </w:rPr>
        <w:t>за нормальних умов:</w:t>
      </w:r>
    </w:p>
    <w:p w14:paraId="2B1C7A4A" w14:textId="77777777" w:rsidR="006801DA" w:rsidRPr="00200825" w:rsidRDefault="006801DA" w:rsidP="008174F9">
      <w:pPr>
        <w:spacing w:after="0"/>
        <w:ind w:left="720"/>
        <w:jc w:val="both"/>
        <w:rPr>
          <w:rFonts w:asciiTheme="majorHAnsi" w:hAnsiTheme="majorHAnsi"/>
          <w:sz w:val="28"/>
          <w:szCs w:val="28"/>
        </w:rPr>
      </w:pPr>
    </w:p>
    <w:p w14:paraId="7E8C31C9" w14:textId="77777777" w:rsidR="006801DA" w:rsidRPr="00200825" w:rsidRDefault="006801DA" w:rsidP="008174F9">
      <w:pPr>
        <w:spacing w:after="0"/>
        <w:ind w:left="720"/>
        <w:jc w:val="both"/>
        <w:rPr>
          <w:rFonts w:asciiTheme="majorHAnsi" w:hAnsiTheme="majorHAnsi"/>
          <w:sz w:val="28"/>
          <w:szCs w:val="28"/>
        </w:rPr>
      </w:pPr>
      <w:r w:rsidRPr="00200825">
        <w:rPr>
          <w:rFonts w:asciiTheme="majorHAnsi" w:hAnsiTheme="majorHAnsi"/>
          <w:sz w:val="28"/>
          <w:szCs w:val="28"/>
        </w:rPr>
        <w:t xml:space="preserve">а) як описано в </w:t>
      </w:r>
      <w:r w:rsidR="0075608F" w:rsidRPr="00200825">
        <w:rPr>
          <w:rFonts w:asciiTheme="majorHAnsi" w:hAnsiTheme="majorHAnsi"/>
          <w:sz w:val="28"/>
          <w:szCs w:val="28"/>
        </w:rPr>
        <w:t>сфері</w:t>
      </w:r>
      <w:r w:rsidRPr="00200825">
        <w:rPr>
          <w:rFonts w:asciiTheme="majorHAnsi" w:hAnsiTheme="majorHAnsi"/>
          <w:sz w:val="28"/>
          <w:szCs w:val="28"/>
        </w:rPr>
        <w:t xml:space="preserve"> акредитації лабораторії, наданій стороною, яка підписала Угоду ILAC; або</w:t>
      </w:r>
    </w:p>
    <w:p w14:paraId="635EE21B" w14:textId="77777777" w:rsidR="0075608F" w:rsidRPr="00200825" w:rsidRDefault="0075608F" w:rsidP="008174F9">
      <w:pPr>
        <w:spacing w:after="0"/>
        <w:ind w:left="720"/>
        <w:jc w:val="both"/>
        <w:rPr>
          <w:rFonts w:asciiTheme="majorHAnsi" w:hAnsiTheme="majorHAnsi"/>
          <w:sz w:val="28"/>
          <w:szCs w:val="28"/>
        </w:rPr>
      </w:pPr>
    </w:p>
    <w:p w14:paraId="4A1509D6" w14:textId="77777777" w:rsidR="0075608F" w:rsidRPr="00200825" w:rsidRDefault="0075608F" w:rsidP="008174F9">
      <w:pPr>
        <w:spacing w:after="0"/>
        <w:ind w:left="720"/>
        <w:jc w:val="both"/>
        <w:rPr>
          <w:rFonts w:asciiTheme="majorHAnsi" w:hAnsiTheme="majorHAnsi"/>
          <w:sz w:val="28"/>
          <w:szCs w:val="28"/>
        </w:rPr>
      </w:pPr>
      <w:r w:rsidRPr="00200825">
        <w:rPr>
          <w:rFonts w:asciiTheme="majorHAnsi" w:hAnsiTheme="majorHAnsi"/>
          <w:sz w:val="28"/>
          <w:szCs w:val="28"/>
          <w:lang w:val="en-US"/>
        </w:rPr>
        <w:t>b</w:t>
      </w:r>
      <w:r w:rsidRPr="00200825">
        <w:rPr>
          <w:rFonts w:asciiTheme="majorHAnsi" w:hAnsiTheme="majorHAnsi"/>
          <w:sz w:val="28"/>
          <w:szCs w:val="28"/>
        </w:rPr>
        <w:t xml:space="preserve">) як опубліковано в базі даних </w:t>
      </w:r>
      <w:r w:rsidR="00844B20" w:rsidRPr="00200825">
        <w:rPr>
          <w:rFonts w:asciiTheme="majorHAnsi" w:hAnsiTheme="majorHAnsi"/>
          <w:sz w:val="28"/>
          <w:szCs w:val="28"/>
        </w:rPr>
        <w:t>ключових звірень</w:t>
      </w:r>
      <w:r w:rsidRPr="00200825">
        <w:rPr>
          <w:rFonts w:asciiTheme="majorHAnsi" w:hAnsiTheme="majorHAnsi"/>
          <w:sz w:val="28"/>
          <w:szCs w:val="28"/>
        </w:rPr>
        <w:t xml:space="preserve"> </w:t>
      </w:r>
      <w:r w:rsidRPr="00200825">
        <w:rPr>
          <w:rFonts w:asciiTheme="majorHAnsi" w:hAnsiTheme="majorHAnsi"/>
          <w:sz w:val="28"/>
          <w:szCs w:val="28"/>
          <w:lang w:val="en-US"/>
        </w:rPr>
        <w:t>BIPM</w:t>
      </w:r>
      <w:r w:rsidRPr="00200825">
        <w:rPr>
          <w:rFonts w:asciiTheme="majorHAnsi" w:hAnsiTheme="majorHAnsi"/>
          <w:sz w:val="28"/>
          <w:szCs w:val="28"/>
        </w:rPr>
        <w:t xml:space="preserve"> (</w:t>
      </w:r>
      <w:r w:rsidRPr="00200825">
        <w:rPr>
          <w:rFonts w:asciiTheme="majorHAnsi" w:hAnsiTheme="majorHAnsi"/>
          <w:sz w:val="28"/>
          <w:szCs w:val="28"/>
          <w:lang w:val="en-US"/>
        </w:rPr>
        <w:t>KCDB</w:t>
      </w:r>
      <w:r w:rsidRPr="00200825">
        <w:rPr>
          <w:rFonts w:asciiTheme="majorHAnsi" w:hAnsiTheme="majorHAnsi"/>
          <w:sz w:val="28"/>
          <w:szCs w:val="28"/>
        </w:rPr>
        <w:t xml:space="preserve">) </w:t>
      </w:r>
      <w:r w:rsidRPr="00200825">
        <w:rPr>
          <w:rFonts w:asciiTheme="majorHAnsi" w:hAnsiTheme="majorHAnsi"/>
          <w:sz w:val="28"/>
          <w:szCs w:val="28"/>
          <w:lang w:val="en-US"/>
        </w:rPr>
        <w:t>CIPM</w:t>
      </w:r>
      <w:r w:rsidRPr="00200825">
        <w:rPr>
          <w:rFonts w:asciiTheme="majorHAnsi" w:hAnsiTheme="majorHAnsi"/>
          <w:sz w:val="28"/>
          <w:szCs w:val="28"/>
        </w:rPr>
        <w:t xml:space="preserve"> </w:t>
      </w:r>
      <w:r w:rsidRPr="00200825">
        <w:rPr>
          <w:rFonts w:asciiTheme="majorHAnsi" w:hAnsiTheme="majorHAnsi"/>
          <w:sz w:val="28"/>
          <w:szCs w:val="28"/>
          <w:lang w:val="en-US"/>
        </w:rPr>
        <w:t>MRA</w:t>
      </w:r>
      <w:r w:rsidRPr="00200825">
        <w:rPr>
          <w:rFonts w:asciiTheme="majorHAnsi" w:hAnsiTheme="majorHAnsi"/>
          <w:sz w:val="28"/>
          <w:szCs w:val="28"/>
        </w:rPr>
        <w:t>.</w:t>
      </w:r>
    </w:p>
    <w:p w14:paraId="24274364" w14:textId="77777777" w:rsidR="0053403F" w:rsidRPr="00200825" w:rsidRDefault="0053403F" w:rsidP="001545A5">
      <w:pPr>
        <w:pStyle w:val="a3"/>
        <w:spacing w:after="0"/>
        <w:jc w:val="both"/>
        <w:rPr>
          <w:rFonts w:asciiTheme="majorHAnsi" w:hAnsiTheme="majorHAnsi"/>
          <w:sz w:val="28"/>
          <w:szCs w:val="28"/>
        </w:rPr>
      </w:pPr>
    </w:p>
    <w:p w14:paraId="11511558" w14:textId="77777777" w:rsidR="0075608F" w:rsidRPr="00200825" w:rsidRDefault="0075608F" w:rsidP="001545A5">
      <w:pPr>
        <w:pStyle w:val="a3"/>
        <w:spacing w:after="0"/>
        <w:jc w:val="both"/>
        <w:rPr>
          <w:rFonts w:asciiTheme="majorHAnsi" w:hAnsiTheme="majorHAnsi"/>
          <w:sz w:val="28"/>
          <w:szCs w:val="28"/>
        </w:rPr>
      </w:pPr>
      <w:r w:rsidRPr="00200825">
        <w:rPr>
          <w:rFonts w:asciiTheme="majorHAnsi" w:hAnsiTheme="majorHAnsi"/>
          <w:sz w:val="28"/>
          <w:szCs w:val="28"/>
        </w:rPr>
        <w:t xml:space="preserve">Додаткове пояснення терміну CMC див. у додатку A. </w:t>
      </w:r>
    </w:p>
    <w:p w14:paraId="6EAC856B" w14:textId="77777777" w:rsidR="0075608F" w:rsidRPr="00200825" w:rsidRDefault="0075608F" w:rsidP="001545A5">
      <w:pPr>
        <w:pStyle w:val="a3"/>
        <w:spacing w:after="0"/>
        <w:jc w:val="both"/>
        <w:rPr>
          <w:rFonts w:asciiTheme="majorHAnsi" w:hAnsiTheme="majorHAnsi"/>
          <w:b/>
          <w:sz w:val="28"/>
          <w:szCs w:val="28"/>
        </w:rPr>
      </w:pPr>
    </w:p>
    <w:p w14:paraId="6B873967" w14:textId="77777777" w:rsidR="0075608F" w:rsidRPr="00200825" w:rsidRDefault="0075608F" w:rsidP="0075608F">
      <w:pPr>
        <w:pStyle w:val="a3"/>
        <w:numPr>
          <w:ilvl w:val="0"/>
          <w:numId w:val="4"/>
        </w:numPr>
        <w:spacing w:after="0"/>
        <w:jc w:val="both"/>
        <w:rPr>
          <w:rFonts w:asciiTheme="majorHAnsi" w:hAnsiTheme="majorHAnsi"/>
          <w:b/>
          <w:sz w:val="28"/>
          <w:szCs w:val="28"/>
        </w:rPr>
      </w:pPr>
      <w:r w:rsidRPr="00200825">
        <w:rPr>
          <w:rFonts w:asciiTheme="majorHAnsi" w:hAnsiTheme="majorHAnsi"/>
          <w:b/>
          <w:sz w:val="28"/>
          <w:szCs w:val="28"/>
        </w:rPr>
        <w:t xml:space="preserve">Політика ILAC </w:t>
      </w:r>
      <w:r w:rsidR="00896CED" w:rsidRPr="00200825">
        <w:rPr>
          <w:rFonts w:asciiTheme="majorHAnsi" w:hAnsiTheme="majorHAnsi"/>
          <w:b/>
          <w:sz w:val="28"/>
          <w:szCs w:val="28"/>
        </w:rPr>
        <w:t>щодо оцінки</w:t>
      </w:r>
      <w:r w:rsidRPr="00200825">
        <w:rPr>
          <w:rFonts w:asciiTheme="majorHAnsi" w:hAnsiTheme="majorHAnsi"/>
          <w:b/>
          <w:sz w:val="28"/>
          <w:szCs w:val="28"/>
        </w:rPr>
        <w:t xml:space="preserve"> </w:t>
      </w:r>
      <w:r w:rsidR="00702D15">
        <w:rPr>
          <w:rFonts w:asciiTheme="majorHAnsi" w:hAnsiTheme="majorHAnsi"/>
          <w:b/>
          <w:sz w:val="28"/>
          <w:szCs w:val="28"/>
        </w:rPr>
        <w:t>непевності</w:t>
      </w:r>
      <w:r w:rsidR="00896CED" w:rsidRPr="00200825">
        <w:rPr>
          <w:rFonts w:asciiTheme="majorHAnsi" w:hAnsiTheme="majorHAnsi"/>
          <w:b/>
          <w:sz w:val="28"/>
          <w:szCs w:val="28"/>
        </w:rPr>
        <w:t xml:space="preserve"> вимірювання</w:t>
      </w:r>
    </w:p>
    <w:p w14:paraId="3DB21509" w14:textId="77777777" w:rsidR="00896CED" w:rsidRPr="00200825" w:rsidRDefault="00896CED" w:rsidP="00896CED">
      <w:pPr>
        <w:pStyle w:val="a3"/>
        <w:spacing w:after="0"/>
        <w:jc w:val="both"/>
        <w:rPr>
          <w:rFonts w:asciiTheme="majorHAnsi" w:hAnsiTheme="majorHAnsi"/>
          <w:sz w:val="28"/>
          <w:szCs w:val="28"/>
        </w:rPr>
      </w:pPr>
    </w:p>
    <w:p w14:paraId="73DDD468" w14:textId="77777777" w:rsidR="00896CED" w:rsidRPr="00200825" w:rsidRDefault="00896CED" w:rsidP="00896CED">
      <w:pPr>
        <w:pStyle w:val="a3"/>
        <w:spacing w:after="0"/>
        <w:jc w:val="both"/>
        <w:rPr>
          <w:rFonts w:asciiTheme="majorHAnsi" w:hAnsiTheme="majorHAnsi"/>
          <w:sz w:val="28"/>
          <w:szCs w:val="28"/>
        </w:rPr>
      </w:pPr>
      <w:r w:rsidRPr="00200825">
        <w:rPr>
          <w:rFonts w:asciiTheme="majorHAnsi" w:hAnsiTheme="majorHAnsi"/>
          <w:sz w:val="28"/>
          <w:szCs w:val="28"/>
        </w:rPr>
        <w:t xml:space="preserve">Орган з акредитації забезпечує, щоб акредитовані калібрувальні лабораторії оцінювали </w:t>
      </w:r>
      <w:r w:rsidR="0070685E">
        <w:rPr>
          <w:rFonts w:asciiTheme="majorHAnsi" w:hAnsiTheme="majorHAnsi"/>
          <w:sz w:val="28"/>
          <w:szCs w:val="28"/>
        </w:rPr>
        <w:t>непевність</w:t>
      </w:r>
      <w:r w:rsidRPr="00200825">
        <w:rPr>
          <w:rFonts w:asciiTheme="majorHAnsi" w:hAnsiTheme="majorHAnsi"/>
          <w:sz w:val="28"/>
          <w:szCs w:val="28"/>
        </w:rPr>
        <w:t xml:space="preserve"> вимірювання відповідно до GUM.</w:t>
      </w:r>
    </w:p>
    <w:p w14:paraId="202A8754" w14:textId="77777777" w:rsidR="00896CED" w:rsidRPr="00200825" w:rsidRDefault="00896CED" w:rsidP="00896CED">
      <w:pPr>
        <w:pStyle w:val="a3"/>
        <w:spacing w:after="0"/>
        <w:jc w:val="both"/>
        <w:rPr>
          <w:rFonts w:asciiTheme="majorHAnsi" w:hAnsiTheme="majorHAnsi"/>
          <w:sz w:val="28"/>
          <w:szCs w:val="28"/>
        </w:rPr>
      </w:pPr>
    </w:p>
    <w:p w14:paraId="1A966A93" w14:textId="77777777" w:rsidR="00896CED" w:rsidRPr="00200825" w:rsidRDefault="00896CED" w:rsidP="00896CED">
      <w:pPr>
        <w:pStyle w:val="a3"/>
        <w:spacing w:after="0"/>
        <w:jc w:val="both"/>
        <w:rPr>
          <w:rFonts w:asciiTheme="majorHAnsi" w:hAnsiTheme="majorHAnsi"/>
          <w:sz w:val="28"/>
          <w:szCs w:val="28"/>
        </w:rPr>
      </w:pPr>
      <w:r w:rsidRPr="00200825">
        <w:rPr>
          <w:rFonts w:asciiTheme="majorHAnsi" w:hAnsiTheme="majorHAnsi"/>
          <w:sz w:val="28"/>
          <w:szCs w:val="28"/>
        </w:rPr>
        <w:t xml:space="preserve">Для гарантії, що оцінка </w:t>
      </w:r>
      <w:r w:rsidR="00702D15">
        <w:rPr>
          <w:rFonts w:asciiTheme="majorHAnsi" w:hAnsiTheme="majorHAnsi"/>
          <w:sz w:val="28"/>
          <w:szCs w:val="28"/>
        </w:rPr>
        <w:t>непевності</w:t>
      </w:r>
      <w:r w:rsidR="00844B20" w:rsidRPr="00200825">
        <w:rPr>
          <w:rFonts w:asciiTheme="majorHAnsi" w:hAnsiTheme="majorHAnsi"/>
          <w:sz w:val="28"/>
          <w:szCs w:val="28"/>
        </w:rPr>
        <w:t xml:space="preserve"> вимірювання узгоджена</w:t>
      </w:r>
      <w:r w:rsidRPr="00200825">
        <w:rPr>
          <w:rFonts w:asciiTheme="majorHAnsi" w:hAnsiTheme="majorHAnsi"/>
          <w:sz w:val="28"/>
          <w:szCs w:val="28"/>
        </w:rPr>
        <w:t xml:space="preserve"> з GUM, орган з акредитації може використовувати документи, опубліковані іншими організаціями, або опублікувати власний документ, що містить практичну рекомендацію та обов’язкові вимоги. Будь-які обов’язкові вимоги повинні відповідати цій політиці та довідковим документам.</w:t>
      </w:r>
    </w:p>
    <w:p w14:paraId="178340B4" w14:textId="77777777" w:rsidR="00821246" w:rsidRPr="00200825" w:rsidRDefault="00821246" w:rsidP="00896CED">
      <w:pPr>
        <w:pStyle w:val="a3"/>
        <w:spacing w:after="0"/>
        <w:jc w:val="both"/>
        <w:rPr>
          <w:rFonts w:asciiTheme="majorHAnsi" w:hAnsiTheme="majorHAnsi"/>
          <w:sz w:val="28"/>
          <w:szCs w:val="28"/>
        </w:rPr>
      </w:pPr>
    </w:p>
    <w:p w14:paraId="2155EED1" w14:textId="77777777" w:rsidR="00821246" w:rsidRPr="00200825" w:rsidRDefault="00821246" w:rsidP="00821246">
      <w:pPr>
        <w:pStyle w:val="a3"/>
        <w:numPr>
          <w:ilvl w:val="0"/>
          <w:numId w:val="4"/>
        </w:numPr>
        <w:spacing w:after="0"/>
        <w:jc w:val="both"/>
        <w:rPr>
          <w:rFonts w:asciiTheme="majorHAnsi" w:hAnsiTheme="majorHAnsi"/>
          <w:b/>
          <w:sz w:val="28"/>
          <w:szCs w:val="28"/>
        </w:rPr>
      </w:pPr>
      <w:r w:rsidRPr="00200825">
        <w:rPr>
          <w:rFonts w:asciiTheme="majorHAnsi" w:hAnsiTheme="majorHAnsi"/>
          <w:b/>
          <w:sz w:val="28"/>
          <w:szCs w:val="28"/>
        </w:rPr>
        <w:t>Політика ILAC щодо сфери акредитації калібрувальних лабораторій</w:t>
      </w:r>
    </w:p>
    <w:p w14:paraId="78B78EF4" w14:textId="77777777" w:rsidR="00821246" w:rsidRPr="00200825" w:rsidRDefault="00821246" w:rsidP="00821246">
      <w:pPr>
        <w:pStyle w:val="a3"/>
        <w:spacing w:after="0"/>
        <w:jc w:val="both"/>
        <w:rPr>
          <w:rFonts w:asciiTheme="majorHAnsi" w:hAnsiTheme="majorHAnsi"/>
          <w:sz w:val="28"/>
          <w:szCs w:val="28"/>
        </w:rPr>
      </w:pPr>
    </w:p>
    <w:p w14:paraId="34F42E56" w14:textId="77777777" w:rsidR="00821246" w:rsidRPr="00200825" w:rsidRDefault="00821246" w:rsidP="00821246">
      <w:pPr>
        <w:pStyle w:val="a3"/>
        <w:numPr>
          <w:ilvl w:val="1"/>
          <w:numId w:val="4"/>
        </w:numPr>
        <w:spacing w:after="0"/>
        <w:jc w:val="both"/>
        <w:rPr>
          <w:rFonts w:asciiTheme="majorHAnsi" w:hAnsiTheme="majorHAnsi"/>
          <w:sz w:val="28"/>
          <w:szCs w:val="28"/>
        </w:rPr>
      </w:pPr>
      <w:r w:rsidRPr="00200825">
        <w:rPr>
          <w:rFonts w:asciiTheme="majorHAnsi" w:hAnsiTheme="majorHAnsi"/>
          <w:sz w:val="28"/>
          <w:szCs w:val="28"/>
        </w:rPr>
        <w:t xml:space="preserve">Сфера акредитації акредитованої калібрувальної лабораторії має включати </w:t>
      </w:r>
      <w:r w:rsidR="00F34D19" w:rsidRPr="00200825">
        <w:rPr>
          <w:rFonts w:asciiTheme="majorHAnsi" w:hAnsiTheme="majorHAnsi"/>
          <w:sz w:val="28"/>
          <w:szCs w:val="28"/>
        </w:rPr>
        <w:t>СМС</w:t>
      </w:r>
      <w:r w:rsidRPr="00200825">
        <w:rPr>
          <w:rFonts w:asciiTheme="majorHAnsi" w:hAnsiTheme="majorHAnsi"/>
          <w:sz w:val="28"/>
          <w:szCs w:val="28"/>
        </w:rPr>
        <w:t xml:space="preserve">, виражену в термінах: </w:t>
      </w:r>
    </w:p>
    <w:p w14:paraId="16A27149" w14:textId="77777777" w:rsidR="007942FA" w:rsidRPr="00200825" w:rsidRDefault="007942FA" w:rsidP="007942FA">
      <w:pPr>
        <w:pStyle w:val="a3"/>
        <w:spacing w:after="0"/>
        <w:ind w:left="1140"/>
        <w:jc w:val="both"/>
        <w:rPr>
          <w:rFonts w:asciiTheme="majorHAnsi" w:hAnsiTheme="majorHAnsi"/>
          <w:sz w:val="28"/>
          <w:szCs w:val="28"/>
        </w:rPr>
      </w:pPr>
    </w:p>
    <w:p w14:paraId="70E0C167" w14:textId="77777777" w:rsidR="00821246" w:rsidRPr="00200825" w:rsidRDefault="00821246" w:rsidP="00821246">
      <w:pPr>
        <w:pStyle w:val="a3"/>
        <w:spacing w:after="0"/>
        <w:ind w:left="1140"/>
        <w:jc w:val="both"/>
        <w:rPr>
          <w:rFonts w:asciiTheme="majorHAnsi" w:hAnsiTheme="majorHAnsi"/>
          <w:sz w:val="28"/>
          <w:szCs w:val="28"/>
        </w:rPr>
      </w:pPr>
      <w:r w:rsidRPr="00200825">
        <w:rPr>
          <w:rFonts w:asciiTheme="majorHAnsi" w:hAnsiTheme="majorHAnsi"/>
          <w:sz w:val="28"/>
          <w:szCs w:val="28"/>
        </w:rPr>
        <w:t xml:space="preserve">а) </w:t>
      </w:r>
      <w:r w:rsidR="007942FA" w:rsidRPr="00200825">
        <w:rPr>
          <w:rFonts w:asciiTheme="majorHAnsi" w:hAnsiTheme="majorHAnsi"/>
          <w:sz w:val="28"/>
          <w:szCs w:val="28"/>
        </w:rPr>
        <w:t xml:space="preserve">вимірювана величина або </w:t>
      </w:r>
      <w:r w:rsidR="00F34D19" w:rsidRPr="00200825">
        <w:rPr>
          <w:rFonts w:asciiTheme="majorHAnsi" w:hAnsiTheme="majorHAnsi"/>
          <w:sz w:val="28"/>
          <w:szCs w:val="28"/>
        </w:rPr>
        <w:t>референтний матеріал</w:t>
      </w:r>
      <w:r w:rsidR="007942FA" w:rsidRPr="00200825">
        <w:rPr>
          <w:rFonts w:asciiTheme="majorHAnsi" w:hAnsiTheme="majorHAnsi"/>
          <w:sz w:val="28"/>
          <w:szCs w:val="28"/>
        </w:rPr>
        <w:t>;</w:t>
      </w:r>
    </w:p>
    <w:p w14:paraId="79687BFC" w14:textId="77777777" w:rsidR="007942FA" w:rsidRPr="00200825" w:rsidRDefault="007942FA" w:rsidP="00821246">
      <w:pPr>
        <w:pStyle w:val="a3"/>
        <w:spacing w:after="0"/>
        <w:ind w:left="1140"/>
        <w:jc w:val="both"/>
        <w:rPr>
          <w:rFonts w:asciiTheme="majorHAnsi" w:hAnsiTheme="majorHAnsi"/>
          <w:sz w:val="28"/>
          <w:szCs w:val="28"/>
        </w:rPr>
      </w:pPr>
      <w:r w:rsidRPr="00200825">
        <w:rPr>
          <w:rFonts w:asciiTheme="majorHAnsi" w:hAnsiTheme="majorHAnsi"/>
          <w:sz w:val="28"/>
          <w:szCs w:val="28"/>
          <w:lang w:val="en-US"/>
        </w:rPr>
        <w:t>b</w:t>
      </w:r>
      <w:r w:rsidRPr="00200825">
        <w:rPr>
          <w:rFonts w:asciiTheme="majorHAnsi" w:hAnsiTheme="majorHAnsi"/>
          <w:sz w:val="28"/>
          <w:szCs w:val="28"/>
        </w:rPr>
        <w:t>)</w:t>
      </w:r>
      <w:r w:rsidR="00E50113" w:rsidRPr="00200825">
        <w:rPr>
          <w:rFonts w:asciiTheme="majorHAnsi" w:hAnsiTheme="majorHAnsi"/>
          <w:sz w:val="28"/>
          <w:szCs w:val="28"/>
        </w:rPr>
        <w:t xml:space="preserve"> калібрування або </w:t>
      </w:r>
      <w:r w:rsidR="00CA08F9" w:rsidRPr="00200825">
        <w:rPr>
          <w:rFonts w:asciiTheme="majorHAnsi" w:hAnsiTheme="majorHAnsi"/>
          <w:sz w:val="28"/>
          <w:szCs w:val="28"/>
        </w:rPr>
        <w:t>метод вимірювання, процедура</w:t>
      </w:r>
      <w:r w:rsidR="00E50113" w:rsidRPr="00200825">
        <w:rPr>
          <w:rFonts w:asciiTheme="majorHAnsi" w:hAnsiTheme="majorHAnsi"/>
          <w:sz w:val="28"/>
          <w:szCs w:val="28"/>
        </w:rPr>
        <w:t xml:space="preserve"> та тип засобу вимірювання чи матеріалу, що підлягають калібруванню чи вимірювальній величині;</w:t>
      </w:r>
      <w:r w:rsidRPr="00200825">
        <w:rPr>
          <w:rFonts w:asciiTheme="majorHAnsi" w:hAnsiTheme="majorHAnsi"/>
          <w:sz w:val="28"/>
          <w:szCs w:val="28"/>
        </w:rPr>
        <w:t xml:space="preserve"> </w:t>
      </w:r>
    </w:p>
    <w:p w14:paraId="38695E38" w14:textId="77777777" w:rsidR="00E50113" w:rsidRPr="00200825" w:rsidRDefault="00E50113" w:rsidP="00821246">
      <w:pPr>
        <w:pStyle w:val="a3"/>
        <w:spacing w:after="0"/>
        <w:ind w:left="1140"/>
        <w:jc w:val="both"/>
        <w:rPr>
          <w:rFonts w:asciiTheme="majorHAnsi" w:hAnsiTheme="majorHAnsi"/>
          <w:sz w:val="28"/>
          <w:szCs w:val="28"/>
        </w:rPr>
      </w:pPr>
      <w:r w:rsidRPr="00200825">
        <w:rPr>
          <w:rFonts w:asciiTheme="majorHAnsi" w:hAnsiTheme="majorHAnsi"/>
          <w:sz w:val="28"/>
          <w:szCs w:val="28"/>
        </w:rPr>
        <w:t>с) діапазон вимірювання та додаткові параметри, де це можливо, наприклад, частота прикладеної напруги;</w:t>
      </w:r>
    </w:p>
    <w:p w14:paraId="3D5064EF" w14:textId="77777777" w:rsidR="00332BFB" w:rsidRPr="00200825" w:rsidRDefault="00332BFB" w:rsidP="00821246">
      <w:pPr>
        <w:pStyle w:val="a3"/>
        <w:spacing w:after="0"/>
        <w:ind w:left="1140"/>
        <w:jc w:val="both"/>
        <w:rPr>
          <w:rFonts w:asciiTheme="majorHAnsi" w:hAnsiTheme="majorHAnsi"/>
          <w:sz w:val="28"/>
          <w:szCs w:val="28"/>
        </w:rPr>
      </w:pPr>
      <w:r w:rsidRPr="00200825">
        <w:rPr>
          <w:rFonts w:asciiTheme="majorHAnsi" w:hAnsiTheme="majorHAnsi"/>
          <w:sz w:val="28"/>
          <w:szCs w:val="28"/>
          <w:lang w:val="en-US"/>
        </w:rPr>
        <w:t>d)</w:t>
      </w:r>
      <w:r w:rsidRPr="00200825">
        <w:rPr>
          <w:rFonts w:asciiTheme="majorHAnsi" w:hAnsiTheme="majorHAnsi"/>
          <w:sz w:val="28"/>
          <w:szCs w:val="28"/>
        </w:rPr>
        <w:t xml:space="preserve"> </w:t>
      </w:r>
      <w:r w:rsidR="0070685E">
        <w:rPr>
          <w:rFonts w:asciiTheme="majorHAnsi" w:hAnsiTheme="majorHAnsi"/>
          <w:sz w:val="28"/>
          <w:szCs w:val="28"/>
        </w:rPr>
        <w:t>непевність</w:t>
      </w:r>
      <w:r w:rsidRPr="00200825">
        <w:rPr>
          <w:rFonts w:asciiTheme="majorHAnsi" w:hAnsiTheme="majorHAnsi"/>
          <w:sz w:val="28"/>
          <w:szCs w:val="28"/>
        </w:rPr>
        <w:t xml:space="preserve"> вимірювання. </w:t>
      </w:r>
    </w:p>
    <w:p w14:paraId="503CEF74" w14:textId="77777777" w:rsidR="00332BFB" w:rsidRPr="00200825" w:rsidRDefault="00332BFB" w:rsidP="00821246">
      <w:pPr>
        <w:pStyle w:val="a3"/>
        <w:spacing w:after="0"/>
        <w:ind w:left="1140"/>
        <w:jc w:val="both"/>
        <w:rPr>
          <w:rFonts w:asciiTheme="majorHAnsi" w:hAnsiTheme="majorHAnsi"/>
          <w:sz w:val="28"/>
          <w:szCs w:val="28"/>
        </w:rPr>
      </w:pPr>
    </w:p>
    <w:p w14:paraId="4CBB0BAF" w14:textId="77777777" w:rsidR="00332BFB" w:rsidRPr="00200825" w:rsidRDefault="009E1E8F" w:rsidP="00F43873">
      <w:pPr>
        <w:pStyle w:val="a3"/>
        <w:numPr>
          <w:ilvl w:val="1"/>
          <w:numId w:val="4"/>
        </w:numPr>
        <w:spacing w:after="0"/>
        <w:ind w:left="709" w:firstLine="0"/>
        <w:jc w:val="both"/>
        <w:rPr>
          <w:rFonts w:asciiTheme="majorHAnsi" w:hAnsiTheme="majorHAnsi"/>
          <w:sz w:val="28"/>
          <w:szCs w:val="28"/>
        </w:rPr>
      </w:pPr>
      <w:r w:rsidRPr="00200825">
        <w:rPr>
          <w:rFonts w:asciiTheme="majorHAnsi" w:hAnsiTheme="majorHAnsi"/>
          <w:sz w:val="28"/>
          <w:szCs w:val="28"/>
        </w:rPr>
        <w:lastRenderedPageBreak/>
        <w:t xml:space="preserve">Не повинно бути двозначності у вираженні CMC щодо сфери акредитації та, отже, найменша </w:t>
      </w:r>
      <w:r w:rsidR="0070685E">
        <w:rPr>
          <w:rFonts w:asciiTheme="majorHAnsi" w:hAnsiTheme="majorHAnsi"/>
          <w:sz w:val="28"/>
          <w:szCs w:val="28"/>
        </w:rPr>
        <w:t>непевність</w:t>
      </w:r>
      <w:r w:rsidRPr="00200825">
        <w:rPr>
          <w:rFonts w:asciiTheme="majorHAnsi" w:hAnsiTheme="majorHAnsi"/>
          <w:sz w:val="28"/>
          <w:szCs w:val="28"/>
        </w:rPr>
        <w:t xml:space="preserve"> вимірювання, яку  можна було б очікувати досягти у лабораторії під час калібрування чи вимірювання. </w:t>
      </w:r>
      <w:r w:rsidR="006A3E63" w:rsidRPr="00200825">
        <w:rPr>
          <w:rFonts w:asciiTheme="majorHAnsi" w:hAnsiTheme="majorHAnsi"/>
          <w:sz w:val="28"/>
          <w:szCs w:val="28"/>
        </w:rPr>
        <w:t xml:space="preserve">Якщо вимірювана величина охоплює значення або діапазон значень, для вираження </w:t>
      </w:r>
      <w:r w:rsidR="00702D15">
        <w:rPr>
          <w:rFonts w:asciiTheme="majorHAnsi" w:hAnsiTheme="majorHAnsi"/>
          <w:sz w:val="28"/>
          <w:szCs w:val="28"/>
        </w:rPr>
        <w:t xml:space="preserve">непевності </w:t>
      </w:r>
      <w:r w:rsidR="006A3E63" w:rsidRPr="00200825">
        <w:rPr>
          <w:rFonts w:asciiTheme="majorHAnsi" w:hAnsiTheme="majorHAnsi"/>
          <w:sz w:val="28"/>
          <w:szCs w:val="28"/>
        </w:rPr>
        <w:t>вимірювання необхідно застосовувати один або більше таких методів:</w:t>
      </w:r>
    </w:p>
    <w:p w14:paraId="3EBC0A8C" w14:textId="77777777" w:rsidR="00F34D19" w:rsidRPr="00200825" w:rsidRDefault="00F34D19" w:rsidP="00F34D19">
      <w:pPr>
        <w:pStyle w:val="a3"/>
        <w:spacing w:after="0"/>
        <w:ind w:left="1130"/>
        <w:jc w:val="both"/>
        <w:rPr>
          <w:rFonts w:asciiTheme="majorHAnsi" w:hAnsiTheme="majorHAnsi"/>
          <w:sz w:val="28"/>
          <w:szCs w:val="28"/>
        </w:rPr>
      </w:pPr>
    </w:p>
    <w:p w14:paraId="4EED6BC2" w14:textId="77777777" w:rsidR="006A3E63" w:rsidRPr="00200825" w:rsidRDefault="006A3E63" w:rsidP="006A3E63">
      <w:pPr>
        <w:pStyle w:val="a3"/>
        <w:spacing w:after="0"/>
        <w:ind w:left="1140"/>
        <w:jc w:val="both"/>
        <w:rPr>
          <w:rFonts w:asciiTheme="majorHAnsi" w:hAnsiTheme="majorHAnsi"/>
          <w:sz w:val="28"/>
          <w:szCs w:val="28"/>
        </w:rPr>
      </w:pPr>
      <w:r w:rsidRPr="00200825">
        <w:rPr>
          <w:rFonts w:asciiTheme="majorHAnsi" w:hAnsiTheme="majorHAnsi"/>
          <w:sz w:val="28"/>
          <w:szCs w:val="28"/>
        </w:rPr>
        <w:t>а) Єдине значення, яке д</w:t>
      </w:r>
      <w:r w:rsidR="00F34D19" w:rsidRPr="00200825">
        <w:rPr>
          <w:rFonts w:asciiTheme="majorHAnsi" w:hAnsiTheme="majorHAnsi"/>
          <w:sz w:val="28"/>
          <w:szCs w:val="28"/>
        </w:rPr>
        <w:t>іє в усьому діапазоні вимірювання</w:t>
      </w:r>
      <w:r w:rsidRPr="00200825">
        <w:rPr>
          <w:rFonts w:asciiTheme="majorHAnsi" w:hAnsiTheme="majorHAnsi"/>
          <w:sz w:val="28"/>
          <w:szCs w:val="28"/>
        </w:rPr>
        <w:t>.</w:t>
      </w:r>
    </w:p>
    <w:p w14:paraId="054BD596" w14:textId="77777777" w:rsidR="006A3E63" w:rsidRPr="00200825" w:rsidRDefault="006A3E63" w:rsidP="006A3E63">
      <w:pPr>
        <w:pStyle w:val="a3"/>
        <w:spacing w:after="0"/>
        <w:ind w:left="1140"/>
        <w:jc w:val="both"/>
        <w:rPr>
          <w:rFonts w:asciiTheme="majorHAnsi" w:hAnsiTheme="majorHAnsi"/>
          <w:sz w:val="28"/>
          <w:szCs w:val="28"/>
        </w:rPr>
      </w:pPr>
      <w:r w:rsidRPr="00200825">
        <w:rPr>
          <w:rFonts w:asciiTheme="majorHAnsi" w:hAnsiTheme="majorHAnsi"/>
          <w:sz w:val="28"/>
          <w:szCs w:val="28"/>
          <w:lang w:val="en-US"/>
        </w:rPr>
        <w:t>b</w:t>
      </w:r>
      <w:r w:rsidRPr="00200825">
        <w:rPr>
          <w:rFonts w:asciiTheme="majorHAnsi" w:hAnsiTheme="majorHAnsi"/>
          <w:sz w:val="28"/>
          <w:szCs w:val="28"/>
        </w:rPr>
        <w:t>)</w:t>
      </w:r>
      <w:r w:rsidR="00FF7A67" w:rsidRPr="00200825">
        <w:rPr>
          <w:rFonts w:asciiTheme="majorHAnsi" w:hAnsiTheme="majorHAnsi"/>
          <w:sz w:val="28"/>
          <w:szCs w:val="28"/>
        </w:rPr>
        <w:t xml:space="preserve"> Діапазон вимірювання. У такому </w:t>
      </w:r>
      <w:r w:rsidR="00846DDB" w:rsidRPr="00200825">
        <w:rPr>
          <w:rFonts w:asciiTheme="majorHAnsi" w:hAnsiTheme="majorHAnsi"/>
          <w:sz w:val="28"/>
          <w:szCs w:val="28"/>
        </w:rPr>
        <w:t>разі</w:t>
      </w:r>
      <w:r w:rsidR="00FF7A67" w:rsidRPr="00200825">
        <w:rPr>
          <w:rFonts w:asciiTheme="majorHAnsi" w:hAnsiTheme="majorHAnsi"/>
          <w:sz w:val="28"/>
          <w:szCs w:val="28"/>
        </w:rPr>
        <w:t xml:space="preserve"> калібрувальна лабораторія повинна переконатися, що лінійна інтерполяція відповідна, щоб знайти </w:t>
      </w:r>
      <w:r w:rsidR="0070685E">
        <w:rPr>
          <w:rFonts w:asciiTheme="majorHAnsi" w:hAnsiTheme="majorHAnsi"/>
          <w:sz w:val="28"/>
          <w:szCs w:val="28"/>
        </w:rPr>
        <w:t>непевність</w:t>
      </w:r>
      <w:r w:rsidR="00FF7A67" w:rsidRPr="00200825">
        <w:rPr>
          <w:rFonts w:asciiTheme="majorHAnsi" w:hAnsiTheme="majorHAnsi"/>
          <w:sz w:val="28"/>
          <w:szCs w:val="28"/>
        </w:rPr>
        <w:t xml:space="preserve"> при проміжних значеннях.</w:t>
      </w:r>
    </w:p>
    <w:p w14:paraId="494D8261" w14:textId="77777777" w:rsidR="00FF7A67" w:rsidRPr="00200825" w:rsidRDefault="00FF7A67" w:rsidP="00FF7A67">
      <w:pPr>
        <w:pStyle w:val="a3"/>
        <w:spacing w:after="0"/>
        <w:ind w:left="1140"/>
        <w:jc w:val="both"/>
        <w:rPr>
          <w:rFonts w:asciiTheme="majorHAnsi" w:hAnsiTheme="majorHAnsi"/>
          <w:sz w:val="28"/>
          <w:szCs w:val="28"/>
        </w:rPr>
      </w:pPr>
      <w:r w:rsidRPr="00200825">
        <w:rPr>
          <w:rFonts w:asciiTheme="majorHAnsi" w:hAnsiTheme="majorHAnsi"/>
          <w:sz w:val="28"/>
          <w:szCs w:val="28"/>
        </w:rPr>
        <w:t xml:space="preserve">с) </w:t>
      </w:r>
      <w:r w:rsidR="007B6C52" w:rsidRPr="00200825">
        <w:rPr>
          <w:rFonts w:asciiTheme="majorHAnsi" w:hAnsiTheme="majorHAnsi"/>
          <w:sz w:val="28"/>
          <w:szCs w:val="28"/>
        </w:rPr>
        <w:t>Пряма функція вимірюваної величини та/або параметра.</w:t>
      </w:r>
    </w:p>
    <w:p w14:paraId="3D8FA77E" w14:textId="77777777" w:rsidR="00FF7A67" w:rsidRPr="00200825" w:rsidRDefault="00FF7A67" w:rsidP="00FF7A67">
      <w:pPr>
        <w:pStyle w:val="a3"/>
        <w:spacing w:after="0"/>
        <w:ind w:left="1140"/>
        <w:jc w:val="both"/>
        <w:rPr>
          <w:rFonts w:asciiTheme="majorHAnsi" w:hAnsiTheme="majorHAnsi"/>
          <w:sz w:val="28"/>
          <w:szCs w:val="28"/>
        </w:rPr>
      </w:pPr>
      <w:r w:rsidRPr="00200825">
        <w:rPr>
          <w:rFonts w:asciiTheme="majorHAnsi" w:hAnsiTheme="majorHAnsi"/>
          <w:sz w:val="28"/>
          <w:szCs w:val="28"/>
          <w:lang w:val="en-US"/>
        </w:rPr>
        <w:t>d</w:t>
      </w:r>
      <w:r w:rsidRPr="00200825">
        <w:rPr>
          <w:rFonts w:asciiTheme="majorHAnsi" w:hAnsiTheme="majorHAnsi"/>
          <w:sz w:val="28"/>
          <w:szCs w:val="28"/>
          <w:lang w:val="ru-RU"/>
        </w:rPr>
        <w:t>)</w:t>
      </w:r>
      <w:r w:rsidR="00162116" w:rsidRPr="00200825">
        <w:rPr>
          <w:rFonts w:asciiTheme="majorHAnsi" w:hAnsiTheme="majorHAnsi"/>
          <w:sz w:val="28"/>
          <w:szCs w:val="28"/>
        </w:rPr>
        <w:t xml:space="preserve"> Матриця, д</w:t>
      </w:r>
      <w:r w:rsidR="00846DDB" w:rsidRPr="00200825">
        <w:rPr>
          <w:rFonts w:asciiTheme="majorHAnsi" w:hAnsiTheme="majorHAnsi"/>
          <w:sz w:val="28"/>
          <w:szCs w:val="28"/>
        </w:rPr>
        <w:t xml:space="preserve">е значення </w:t>
      </w:r>
      <w:r w:rsidR="00702D15">
        <w:rPr>
          <w:rFonts w:asciiTheme="majorHAnsi" w:hAnsiTheme="majorHAnsi"/>
          <w:sz w:val="28"/>
          <w:szCs w:val="28"/>
        </w:rPr>
        <w:t>непевності</w:t>
      </w:r>
      <w:r w:rsidR="00846DDB" w:rsidRPr="00200825">
        <w:rPr>
          <w:rFonts w:asciiTheme="majorHAnsi" w:hAnsiTheme="majorHAnsi"/>
          <w:sz w:val="28"/>
          <w:szCs w:val="28"/>
        </w:rPr>
        <w:t xml:space="preserve"> залежи</w:t>
      </w:r>
      <w:r w:rsidR="00162116" w:rsidRPr="00200825">
        <w:rPr>
          <w:rFonts w:asciiTheme="majorHAnsi" w:hAnsiTheme="majorHAnsi"/>
          <w:sz w:val="28"/>
          <w:szCs w:val="28"/>
        </w:rPr>
        <w:t>ть від значень вимірюваної величини та додаткових параметрів.</w:t>
      </w:r>
    </w:p>
    <w:p w14:paraId="4B1967F6" w14:textId="77777777" w:rsidR="00162116" w:rsidRPr="00200825" w:rsidRDefault="00162116" w:rsidP="00FF7A67">
      <w:pPr>
        <w:pStyle w:val="a3"/>
        <w:spacing w:after="0"/>
        <w:ind w:left="1140"/>
        <w:jc w:val="both"/>
        <w:rPr>
          <w:rFonts w:asciiTheme="majorHAnsi" w:hAnsiTheme="majorHAnsi"/>
          <w:sz w:val="28"/>
          <w:szCs w:val="28"/>
        </w:rPr>
      </w:pPr>
      <w:r w:rsidRPr="00200825">
        <w:rPr>
          <w:rFonts w:asciiTheme="majorHAnsi" w:hAnsiTheme="majorHAnsi"/>
          <w:sz w:val="28"/>
          <w:szCs w:val="28"/>
        </w:rPr>
        <w:t xml:space="preserve">е) Графічна форма, яка забезпечує достатню роздільну здатність по кожній осі для отримання, принаймні, двох значущих цифр для </w:t>
      </w:r>
      <w:r w:rsidR="0070685E">
        <w:rPr>
          <w:rFonts w:asciiTheme="majorHAnsi" w:hAnsiTheme="majorHAnsi"/>
          <w:sz w:val="28"/>
          <w:szCs w:val="28"/>
        </w:rPr>
        <w:t>непевн</w:t>
      </w:r>
      <w:r w:rsidR="00702D15">
        <w:rPr>
          <w:rFonts w:asciiTheme="majorHAnsi" w:hAnsiTheme="majorHAnsi"/>
          <w:sz w:val="28"/>
          <w:szCs w:val="28"/>
        </w:rPr>
        <w:t>ості</w:t>
      </w:r>
      <w:r w:rsidRPr="00200825">
        <w:rPr>
          <w:rFonts w:asciiTheme="majorHAnsi" w:hAnsiTheme="majorHAnsi"/>
          <w:sz w:val="28"/>
          <w:szCs w:val="28"/>
        </w:rPr>
        <w:t>.</w:t>
      </w:r>
    </w:p>
    <w:p w14:paraId="28B62462" w14:textId="77777777" w:rsidR="00162116" w:rsidRPr="00200825" w:rsidRDefault="00162116" w:rsidP="00FF7A67">
      <w:pPr>
        <w:pStyle w:val="a3"/>
        <w:spacing w:after="0"/>
        <w:ind w:left="1140"/>
        <w:jc w:val="both"/>
        <w:rPr>
          <w:rFonts w:asciiTheme="majorHAnsi" w:hAnsiTheme="majorHAnsi"/>
          <w:sz w:val="28"/>
          <w:szCs w:val="28"/>
        </w:rPr>
      </w:pPr>
    </w:p>
    <w:p w14:paraId="6E9E792C" w14:textId="77777777" w:rsidR="00162116" w:rsidRPr="00200825" w:rsidRDefault="00162116" w:rsidP="00162116">
      <w:pPr>
        <w:pStyle w:val="a3"/>
        <w:spacing w:after="0"/>
        <w:ind w:left="709"/>
        <w:jc w:val="both"/>
        <w:rPr>
          <w:rFonts w:asciiTheme="majorHAnsi" w:hAnsiTheme="majorHAnsi"/>
          <w:sz w:val="28"/>
          <w:szCs w:val="28"/>
        </w:rPr>
      </w:pPr>
      <w:r w:rsidRPr="00200825">
        <w:rPr>
          <w:rFonts w:asciiTheme="majorHAnsi" w:hAnsiTheme="majorHAnsi"/>
          <w:sz w:val="28"/>
          <w:szCs w:val="28"/>
        </w:rPr>
        <w:t xml:space="preserve">Відкриті інтервали ((приклад 1) «0 &lt; </w:t>
      </w:r>
      <w:r w:rsidRPr="00200825">
        <w:rPr>
          <w:rFonts w:asciiTheme="majorHAnsi" w:hAnsiTheme="majorHAnsi"/>
          <w:i/>
          <w:sz w:val="28"/>
          <w:szCs w:val="28"/>
        </w:rPr>
        <w:t>U</w:t>
      </w:r>
      <w:r w:rsidRPr="00200825">
        <w:rPr>
          <w:rFonts w:asciiTheme="majorHAnsi" w:hAnsiTheme="majorHAnsi"/>
          <w:sz w:val="28"/>
          <w:szCs w:val="28"/>
        </w:rPr>
        <w:t xml:space="preserve"> &lt; x», або (приклад 2) для інтервалу опору від 1 до 100 </w:t>
      </w:r>
      <w:r w:rsidR="00574211" w:rsidRPr="00200825">
        <w:rPr>
          <w:rFonts w:asciiTheme="majorHAnsi" w:hAnsiTheme="majorHAnsi"/>
          <w:sz w:val="28"/>
          <w:szCs w:val="28"/>
        </w:rPr>
        <w:t>ohms</w:t>
      </w:r>
      <w:r w:rsidRPr="00200825">
        <w:rPr>
          <w:rFonts w:asciiTheme="majorHAnsi" w:hAnsiTheme="majorHAnsi"/>
          <w:sz w:val="28"/>
          <w:szCs w:val="28"/>
        </w:rPr>
        <w:t xml:space="preserve">, похибка, зазначена як «менше 2 </w:t>
      </w:r>
      <w:r w:rsidR="00574211" w:rsidRPr="00200825">
        <w:rPr>
          <w:rFonts w:asciiTheme="majorHAnsi" w:hAnsiTheme="majorHAnsi"/>
          <w:sz w:val="28"/>
          <w:szCs w:val="28"/>
        </w:rPr>
        <w:t>µΩ/Ω</w:t>
      </w:r>
      <w:r w:rsidR="00846DDB" w:rsidRPr="00200825">
        <w:rPr>
          <w:rFonts w:asciiTheme="majorHAnsi" w:hAnsiTheme="majorHAnsi"/>
          <w:sz w:val="28"/>
          <w:szCs w:val="28"/>
        </w:rPr>
        <w:t>») -</w:t>
      </w:r>
      <w:r w:rsidRPr="00200825">
        <w:rPr>
          <w:rFonts w:asciiTheme="majorHAnsi" w:hAnsiTheme="majorHAnsi"/>
          <w:sz w:val="28"/>
          <w:szCs w:val="28"/>
        </w:rPr>
        <w:t xml:space="preserve"> </w:t>
      </w:r>
      <w:r w:rsidR="002E1D27" w:rsidRPr="00200825">
        <w:rPr>
          <w:rFonts w:asciiTheme="majorHAnsi" w:hAnsiTheme="majorHAnsi"/>
          <w:sz w:val="28"/>
          <w:szCs w:val="28"/>
        </w:rPr>
        <w:t xml:space="preserve">у поданні CMC </w:t>
      </w:r>
      <w:r w:rsidRPr="00200825">
        <w:rPr>
          <w:rFonts w:asciiTheme="majorHAnsi" w:hAnsiTheme="majorHAnsi"/>
          <w:sz w:val="28"/>
          <w:szCs w:val="28"/>
        </w:rPr>
        <w:t>є неправильними.</w:t>
      </w:r>
    </w:p>
    <w:p w14:paraId="509B8851" w14:textId="77777777" w:rsidR="00896CED" w:rsidRPr="00200825" w:rsidRDefault="00896CED" w:rsidP="00896CED">
      <w:pPr>
        <w:pStyle w:val="a3"/>
        <w:spacing w:after="0"/>
        <w:jc w:val="both"/>
        <w:rPr>
          <w:rFonts w:asciiTheme="majorHAnsi" w:hAnsiTheme="majorHAnsi"/>
          <w:sz w:val="28"/>
          <w:szCs w:val="28"/>
        </w:rPr>
      </w:pPr>
    </w:p>
    <w:p w14:paraId="79C964AA" w14:textId="77777777" w:rsidR="0061258D" w:rsidRPr="00200825" w:rsidRDefault="0070685E" w:rsidP="001F4026">
      <w:pPr>
        <w:pStyle w:val="a3"/>
        <w:numPr>
          <w:ilvl w:val="1"/>
          <w:numId w:val="4"/>
        </w:numPr>
        <w:spacing w:after="0"/>
        <w:jc w:val="both"/>
        <w:rPr>
          <w:rFonts w:asciiTheme="majorHAnsi" w:hAnsiTheme="majorHAnsi"/>
          <w:sz w:val="28"/>
          <w:szCs w:val="28"/>
        </w:rPr>
      </w:pPr>
      <w:r>
        <w:rPr>
          <w:rFonts w:asciiTheme="majorHAnsi" w:hAnsiTheme="majorHAnsi"/>
          <w:sz w:val="28"/>
          <w:szCs w:val="28"/>
        </w:rPr>
        <w:t>Непевність</w:t>
      </w:r>
      <w:r w:rsidR="0061258D" w:rsidRPr="00200825">
        <w:rPr>
          <w:rFonts w:asciiTheme="majorHAnsi" w:hAnsiTheme="majorHAnsi"/>
          <w:sz w:val="28"/>
          <w:szCs w:val="28"/>
        </w:rPr>
        <w:t xml:space="preserve">, охоплена CMC, повинна бути виражена як розширена </w:t>
      </w:r>
      <w:r>
        <w:rPr>
          <w:rFonts w:asciiTheme="majorHAnsi" w:hAnsiTheme="majorHAnsi"/>
          <w:sz w:val="28"/>
          <w:szCs w:val="28"/>
        </w:rPr>
        <w:t>непевність</w:t>
      </w:r>
      <w:r w:rsidR="0061258D" w:rsidRPr="00200825">
        <w:rPr>
          <w:rFonts w:asciiTheme="majorHAnsi" w:hAnsiTheme="majorHAnsi"/>
          <w:sz w:val="28"/>
          <w:szCs w:val="28"/>
        </w:rPr>
        <w:t xml:space="preserve">, яка має ймовірність </w:t>
      </w:r>
      <w:r w:rsidR="000E5D42" w:rsidRPr="00200825">
        <w:rPr>
          <w:rFonts w:asciiTheme="majorHAnsi" w:hAnsiTheme="majorHAnsi"/>
          <w:sz w:val="28"/>
          <w:szCs w:val="28"/>
        </w:rPr>
        <w:t>охоплення</w:t>
      </w:r>
      <w:r w:rsidR="0061258D" w:rsidRPr="00200825">
        <w:rPr>
          <w:rFonts w:asciiTheme="majorHAnsi" w:hAnsiTheme="majorHAnsi"/>
          <w:sz w:val="28"/>
          <w:szCs w:val="28"/>
        </w:rPr>
        <w:t xml:space="preserve"> приблизно 95 %.</w:t>
      </w:r>
      <w:r w:rsidR="000E5D42" w:rsidRPr="00200825">
        <w:rPr>
          <w:rFonts w:asciiTheme="majorHAnsi" w:hAnsiTheme="majorHAnsi"/>
          <w:sz w:val="28"/>
          <w:szCs w:val="28"/>
        </w:rPr>
        <w:t xml:space="preserve"> Одиниця </w:t>
      </w:r>
      <w:r w:rsidR="00702D15">
        <w:rPr>
          <w:rFonts w:asciiTheme="majorHAnsi" w:hAnsiTheme="majorHAnsi"/>
          <w:sz w:val="28"/>
          <w:szCs w:val="28"/>
        </w:rPr>
        <w:t>непевності</w:t>
      </w:r>
      <w:r w:rsidR="000E5D42" w:rsidRPr="00200825">
        <w:rPr>
          <w:rFonts w:asciiTheme="majorHAnsi" w:hAnsiTheme="majorHAnsi"/>
          <w:sz w:val="28"/>
          <w:szCs w:val="28"/>
        </w:rPr>
        <w:t xml:space="preserve"> завжди має бути такою</w:t>
      </w:r>
      <w:r w:rsidR="002E1D27" w:rsidRPr="00200825">
        <w:rPr>
          <w:rFonts w:asciiTheme="majorHAnsi" w:hAnsiTheme="majorHAnsi"/>
          <w:sz w:val="28"/>
          <w:szCs w:val="28"/>
        </w:rPr>
        <w:t xml:space="preserve"> ж</w:t>
      </w:r>
      <w:r w:rsidR="000E5D42" w:rsidRPr="00200825">
        <w:rPr>
          <w:rFonts w:asciiTheme="majorHAnsi" w:hAnsiTheme="majorHAnsi"/>
          <w:sz w:val="28"/>
          <w:szCs w:val="28"/>
        </w:rPr>
        <w:t xml:space="preserve"> самою, як і вимірювана величина, або у вигляді відносно вимірюваної величини, наприклад, відсоток, </w:t>
      </w:r>
      <w:r w:rsidR="000E5D42" w:rsidRPr="00200825">
        <w:t xml:space="preserve">µV/V </w:t>
      </w:r>
      <w:r w:rsidR="000E5D42" w:rsidRPr="00200825">
        <w:rPr>
          <w:rFonts w:asciiTheme="majorHAnsi" w:hAnsiTheme="majorHAnsi"/>
          <w:sz w:val="28"/>
          <w:szCs w:val="28"/>
        </w:rPr>
        <w:t>або частка на 106.</w:t>
      </w:r>
      <w:r w:rsidR="0061258D" w:rsidRPr="00200825">
        <w:rPr>
          <w:rFonts w:asciiTheme="majorHAnsi" w:hAnsiTheme="majorHAnsi"/>
          <w:sz w:val="28"/>
          <w:szCs w:val="28"/>
        </w:rPr>
        <w:t xml:space="preserve"> </w:t>
      </w:r>
      <w:r w:rsidR="001F4026" w:rsidRPr="00200825">
        <w:rPr>
          <w:rFonts w:asciiTheme="majorHAnsi" w:hAnsiTheme="majorHAnsi"/>
          <w:sz w:val="28"/>
          <w:szCs w:val="28"/>
        </w:rPr>
        <w:t>Через неоднозначність дефініцій,  використання термінів «PPM» і «PPB» - неприпустимо.</w:t>
      </w:r>
    </w:p>
    <w:p w14:paraId="3E27B469" w14:textId="77777777" w:rsidR="001F4026" w:rsidRPr="00200825" w:rsidRDefault="001F4026" w:rsidP="001F4026">
      <w:pPr>
        <w:pStyle w:val="a3"/>
        <w:spacing w:after="0"/>
        <w:ind w:left="1140"/>
        <w:jc w:val="both"/>
        <w:rPr>
          <w:rFonts w:asciiTheme="majorHAnsi" w:hAnsiTheme="majorHAnsi"/>
          <w:sz w:val="28"/>
          <w:szCs w:val="28"/>
        </w:rPr>
      </w:pPr>
    </w:p>
    <w:p w14:paraId="1440F44B" w14:textId="77777777" w:rsidR="001F4026" w:rsidRPr="00200825" w:rsidRDefault="00CF1092" w:rsidP="001F4026">
      <w:pPr>
        <w:pStyle w:val="a3"/>
        <w:spacing w:after="0"/>
        <w:ind w:left="1140"/>
        <w:jc w:val="both"/>
        <w:rPr>
          <w:rFonts w:asciiTheme="majorHAnsi" w:hAnsiTheme="majorHAnsi"/>
          <w:sz w:val="28"/>
          <w:szCs w:val="28"/>
        </w:rPr>
      </w:pPr>
      <w:r w:rsidRPr="00200825">
        <w:rPr>
          <w:rFonts w:asciiTheme="majorHAnsi" w:hAnsiTheme="majorHAnsi"/>
          <w:sz w:val="28"/>
          <w:szCs w:val="28"/>
        </w:rPr>
        <w:t xml:space="preserve">Котирований CMC повинен включати </w:t>
      </w:r>
      <w:r w:rsidR="00C21FFB" w:rsidRPr="00200825">
        <w:rPr>
          <w:rFonts w:asciiTheme="majorHAnsi" w:hAnsiTheme="majorHAnsi"/>
          <w:sz w:val="28"/>
          <w:szCs w:val="28"/>
        </w:rPr>
        <w:t>вплив</w:t>
      </w:r>
      <w:r w:rsidRPr="00200825">
        <w:rPr>
          <w:rFonts w:asciiTheme="majorHAnsi" w:hAnsiTheme="majorHAnsi"/>
          <w:sz w:val="28"/>
          <w:szCs w:val="28"/>
        </w:rPr>
        <w:t xml:space="preserve"> від найкращого існуючого </w:t>
      </w:r>
      <w:r w:rsidR="008B77EB" w:rsidRPr="00200825">
        <w:rPr>
          <w:rFonts w:asciiTheme="majorHAnsi" w:hAnsiTheme="majorHAnsi"/>
          <w:sz w:val="28"/>
          <w:szCs w:val="28"/>
        </w:rPr>
        <w:t xml:space="preserve">на сьогодні </w:t>
      </w:r>
      <w:r w:rsidRPr="00200825">
        <w:rPr>
          <w:rFonts w:asciiTheme="majorHAnsi" w:hAnsiTheme="majorHAnsi"/>
          <w:sz w:val="28"/>
          <w:szCs w:val="28"/>
        </w:rPr>
        <w:t>при</w:t>
      </w:r>
      <w:r w:rsidR="00F34D19" w:rsidRPr="00200825">
        <w:rPr>
          <w:rFonts w:asciiTheme="majorHAnsi" w:hAnsiTheme="majorHAnsi"/>
          <w:sz w:val="28"/>
          <w:szCs w:val="28"/>
        </w:rPr>
        <w:t>строю, який буде відкалібровано</w:t>
      </w:r>
      <w:r w:rsidRPr="00200825">
        <w:rPr>
          <w:rFonts w:asciiTheme="majorHAnsi" w:hAnsiTheme="majorHAnsi"/>
          <w:sz w:val="28"/>
          <w:szCs w:val="28"/>
        </w:rPr>
        <w:t xml:space="preserve"> </w:t>
      </w:r>
      <w:r w:rsidR="008B77EB" w:rsidRPr="00200825">
        <w:rPr>
          <w:rFonts w:asciiTheme="majorHAnsi" w:hAnsiTheme="majorHAnsi"/>
          <w:sz w:val="28"/>
          <w:szCs w:val="28"/>
        </w:rPr>
        <w:t>у такий спосіб</w:t>
      </w:r>
      <w:r w:rsidRPr="00200825">
        <w:rPr>
          <w:rFonts w:asciiTheme="majorHAnsi" w:hAnsiTheme="majorHAnsi"/>
          <w:sz w:val="28"/>
          <w:szCs w:val="28"/>
        </w:rPr>
        <w:t>, щоб заявлений CMC був очевидно реалізованим.</w:t>
      </w:r>
    </w:p>
    <w:p w14:paraId="1AE8940D" w14:textId="77777777" w:rsidR="00896CED" w:rsidRPr="00200825" w:rsidRDefault="00896CED" w:rsidP="00896CED">
      <w:pPr>
        <w:spacing w:after="0"/>
        <w:jc w:val="both"/>
        <w:rPr>
          <w:rFonts w:asciiTheme="majorHAnsi" w:hAnsiTheme="majorHAnsi"/>
          <w:sz w:val="28"/>
          <w:szCs w:val="28"/>
        </w:rPr>
      </w:pPr>
    </w:p>
    <w:p w14:paraId="6784700A" w14:textId="77777777" w:rsidR="001545A5" w:rsidRPr="00200825" w:rsidRDefault="0019565A" w:rsidP="00EF2AAF">
      <w:pPr>
        <w:spacing w:after="0"/>
        <w:ind w:left="709"/>
        <w:jc w:val="both"/>
        <w:rPr>
          <w:rFonts w:asciiTheme="majorHAnsi" w:hAnsiTheme="majorHAnsi"/>
          <w:sz w:val="28"/>
          <w:szCs w:val="28"/>
        </w:rPr>
      </w:pPr>
      <w:r w:rsidRPr="00200825">
        <w:rPr>
          <w:rFonts w:asciiTheme="majorHAnsi" w:hAnsiTheme="majorHAnsi"/>
          <w:sz w:val="28"/>
          <w:szCs w:val="28"/>
        </w:rPr>
        <w:t>Примітка 1: Термін «Н</w:t>
      </w:r>
      <w:r w:rsidR="008B77EB" w:rsidRPr="00200825">
        <w:rPr>
          <w:rFonts w:asciiTheme="majorHAnsi" w:hAnsiTheme="majorHAnsi"/>
          <w:sz w:val="28"/>
          <w:szCs w:val="28"/>
        </w:rPr>
        <w:t xml:space="preserve">айкращий існуючий на сьогодні пристрій» - </w:t>
      </w:r>
      <w:r w:rsidR="00EF2AAF" w:rsidRPr="00200825">
        <w:rPr>
          <w:rFonts w:asciiTheme="majorHAnsi" w:hAnsiTheme="majorHAnsi"/>
          <w:sz w:val="28"/>
          <w:szCs w:val="28"/>
        </w:rPr>
        <w:t xml:space="preserve">це той пристрій, який </w:t>
      </w:r>
      <w:r w:rsidR="008B77EB" w:rsidRPr="00200825">
        <w:rPr>
          <w:rFonts w:asciiTheme="majorHAnsi" w:hAnsiTheme="majorHAnsi"/>
          <w:sz w:val="28"/>
          <w:szCs w:val="28"/>
        </w:rPr>
        <w:t xml:space="preserve">підлягає калібруванню, комерційно або іншим </w:t>
      </w:r>
      <w:r w:rsidR="00EF2AAF" w:rsidRPr="00200825">
        <w:rPr>
          <w:rFonts w:asciiTheme="majorHAnsi" w:hAnsiTheme="majorHAnsi"/>
          <w:sz w:val="28"/>
          <w:szCs w:val="28"/>
        </w:rPr>
        <w:t>способом доступним</w:t>
      </w:r>
      <w:r w:rsidR="008B77EB" w:rsidRPr="00200825">
        <w:rPr>
          <w:rFonts w:asciiTheme="majorHAnsi" w:hAnsiTheme="majorHAnsi"/>
          <w:sz w:val="28"/>
          <w:szCs w:val="28"/>
        </w:rPr>
        <w:t xml:space="preserve"> для </w:t>
      </w:r>
      <w:r w:rsidR="00D232BA" w:rsidRPr="00200825">
        <w:rPr>
          <w:rFonts w:asciiTheme="majorHAnsi" w:hAnsiTheme="majorHAnsi"/>
          <w:sz w:val="28"/>
          <w:szCs w:val="28"/>
        </w:rPr>
        <w:t>замовника</w:t>
      </w:r>
      <w:r w:rsidR="008B77EB" w:rsidRPr="00200825">
        <w:rPr>
          <w:rFonts w:asciiTheme="majorHAnsi" w:hAnsiTheme="majorHAnsi"/>
          <w:sz w:val="28"/>
          <w:szCs w:val="28"/>
        </w:rPr>
        <w:t>, навіть якщо він має особливу продуктивність (стабільність) або має тривалу історію калібрування.</w:t>
      </w:r>
    </w:p>
    <w:p w14:paraId="5ECB2E1C" w14:textId="77777777" w:rsidR="00EF2AAF" w:rsidRPr="00200825" w:rsidRDefault="00EF2AAF" w:rsidP="00EF2AAF">
      <w:pPr>
        <w:spacing w:after="0"/>
        <w:ind w:left="709"/>
        <w:jc w:val="both"/>
        <w:rPr>
          <w:rFonts w:asciiTheme="majorHAnsi" w:hAnsiTheme="majorHAnsi"/>
          <w:sz w:val="28"/>
          <w:szCs w:val="28"/>
        </w:rPr>
      </w:pPr>
    </w:p>
    <w:p w14:paraId="33B4D964" w14:textId="77777777" w:rsidR="00EF2AAF" w:rsidRPr="00200825" w:rsidRDefault="00EF2AAF" w:rsidP="00EF2AAF">
      <w:pPr>
        <w:spacing w:after="0"/>
        <w:ind w:left="709"/>
        <w:jc w:val="both"/>
        <w:rPr>
          <w:rFonts w:asciiTheme="majorHAnsi" w:hAnsiTheme="majorHAnsi"/>
          <w:sz w:val="28"/>
          <w:szCs w:val="28"/>
        </w:rPr>
      </w:pPr>
      <w:r w:rsidRPr="00200825">
        <w:rPr>
          <w:rFonts w:asciiTheme="majorHAnsi" w:hAnsiTheme="majorHAnsi"/>
          <w:sz w:val="28"/>
          <w:szCs w:val="28"/>
        </w:rPr>
        <w:t xml:space="preserve">Примітка 2: Якщо можливо, то найкращий існуючий на сьогодні пристрій може </w:t>
      </w:r>
      <w:r w:rsidR="00C21FFB" w:rsidRPr="00200825">
        <w:rPr>
          <w:rFonts w:asciiTheme="majorHAnsi" w:hAnsiTheme="majorHAnsi"/>
          <w:sz w:val="28"/>
          <w:szCs w:val="28"/>
        </w:rPr>
        <w:t xml:space="preserve">мати </w:t>
      </w:r>
      <w:r w:rsidR="003649E2" w:rsidRPr="00200825">
        <w:rPr>
          <w:rFonts w:asciiTheme="majorHAnsi" w:hAnsiTheme="majorHAnsi"/>
          <w:sz w:val="28"/>
          <w:szCs w:val="28"/>
        </w:rPr>
        <w:t xml:space="preserve">вплив </w:t>
      </w:r>
      <w:r w:rsidR="00702D15">
        <w:rPr>
          <w:rFonts w:asciiTheme="majorHAnsi" w:hAnsiTheme="majorHAnsi"/>
          <w:sz w:val="28"/>
          <w:szCs w:val="28"/>
        </w:rPr>
        <w:t>непевності</w:t>
      </w:r>
      <w:r w:rsidRPr="00200825">
        <w:rPr>
          <w:rFonts w:asciiTheme="majorHAnsi" w:hAnsiTheme="majorHAnsi"/>
          <w:sz w:val="28"/>
          <w:szCs w:val="28"/>
        </w:rPr>
        <w:t xml:space="preserve"> від повторюваності, що дорівнює нулю, це значення може бути використане в оцінці CMC. </w:t>
      </w:r>
    </w:p>
    <w:p w14:paraId="3C04966A" w14:textId="77777777" w:rsidR="00BD75C8" w:rsidRPr="00200825" w:rsidRDefault="00BD75C8" w:rsidP="00EF2AAF">
      <w:pPr>
        <w:spacing w:after="0"/>
        <w:ind w:left="709"/>
        <w:jc w:val="both"/>
        <w:rPr>
          <w:rFonts w:asciiTheme="majorHAnsi" w:hAnsiTheme="majorHAnsi"/>
          <w:sz w:val="28"/>
          <w:szCs w:val="28"/>
        </w:rPr>
      </w:pPr>
    </w:p>
    <w:p w14:paraId="170B261E" w14:textId="77777777" w:rsidR="002E7073" w:rsidRPr="00200825" w:rsidRDefault="00BD75C8" w:rsidP="00272F0D">
      <w:pPr>
        <w:pStyle w:val="a3"/>
        <w:numPr>
          <w:ilvl w:val="1"/>
          <w:numId w:val="4"/>
        </w:numPr>
        <w:spacing w:after="0"/>
        <w:jc w:val="both"/>
        <w:rPr>
          <w:rFonts w:asciiTheme="majorHAnsi" w:hAnsiTheme="majorHAnsi"/>
          <w:sz w:val="28"/>
          <w:szCs w:val="28"/>
        </w:rPr>
      </w:pPr>
      <w:r w:rsidRPr="00200825">
        <w:rPr>
          <w:rFonts w:asciiTheme="majorHAnsi" w:hAnsiTheme="majorHAnsi"/>
          <w:sz w:val="28"/>
          <w:szCs w:val="28"/>
        </w:rPr>
        <w:t xml:space="preserve">Якщо лабораторії пропонують такі послуги, як надання </w:t>
      </w:r>
      <w:r w:rsidR="00397F4B" w:rsidRPr="00200825">
        <w:rPr>
          <w:rFonts w:asciiTheme="majorHAnsi" w:hAnsiTheme="majorHAnsi"/>
          <w:sz w:val="28"/>
          <w:szCs w:val="28"/>
        </w:rPr>
        <w:t>референтних</w:t>
      </w:r>
      <w:r w:rsidRPr="00200825">
        <w:rPr>
          <w:rFonts w:asciiTheme="majorHAnsi" w:hAnsiTheme="majorHAnsi"/>
          <w:sz w:val="28"/>
          <w:szCs w:val="28"/>
        </w:rPr>
        <w:t xml:space="preserve"> значень, </w:t>
      </w:r>
      <w:r w:rsidR="0070685E">
        <w:rPr>
          <w:rFonts w:asciiTheme="majorHAnsi" w:hAnsiTheme="majorHAnsi"/>
          <w:sz w:val="28"/>
          <w:szCs w:val="28"/>
        </w:rPr>
        <w:t>непевність</w:t>
      </w:r>
      <w:r w:rsidRPr="00200825">
        <w:rPr>
          <w:rFonts w:asciiTheme="majorHAnsi" w:hAnsiTheme="majorHAnsi"/>
          <w:sz w:val="28"/>
          <w:szCs w:val="28"/>
        </w:rPr>
        <w:t xml:space="preserve">, охоплена CMC, </w:t>
      </w:r>
      <w:r w:rsidR="000D2438" w:rsidRPr="00200825">
        <w:rPr>
          <w:rFonts w:asciiTheme="majorHAnsi" w:hAnsiTheme="majorHAnsi"/>
          <w:sz w:val="28"/>
          <w:szCs w:val="28"/>
        </w:rPr>
        <w:t>має</w:t>
      </w:r>
      <w:r w:rsidRPr="00200825">
        <w:rPr>
          <w:rFonts w:asciiTheme="majorHAnsi" w:hAnsiTheme="majorHAnsi"/>
          <w:sz w:val="28"/>
          <w:szCs w:val="28"/>
        </w:rPr>
        <w:t xml:space="preserve"> включати фактори, пов’язані з проце</w:t>
      </w:r>
      <w:r w:rsidR="000D2438" w:rsidRPr="00200825">
        <w:rPr>
          <w:rFonts w:asciiTheme="majorHAnsi" w:hAnsiTheme="majorHAnsi"/>
          <w:sz w:val="28"/>
          <w:szCs w:val="28"/>
        </w:rPr>
        <w:t xml:space="preserve">дурою вимірювання, оскільки їх </w:t>
      </w:r>
      <w:r w:rsidR="0019565A" w:rsidRPr="00200825">
        <w:rPr>
          <w:rFonts w:asciiTheme="majorHAnsi" w:hAnsiTheme="majorHAnsi"/>
          <w:sz w:val="28"/>
          <w:szCs w:val="28"/>
        </w:rPr>
        <w:t>виконають</w:t>
      </w:r>
      <w:r w:rsidR="000D2438" w:rsidRPr="00200825">
        <w:rPr>
          <w:rFonts w:asciiTheme="majorHAnsi" w:hAnsiTheme="majorHAnsi"/>
          <w:sz w:val="28"/>
          <w:szCs w:val="28"/>
        </w:rPr>
        <w:t xml:space="preserve"> на зразку, </w:t>
      </w:r>
      <w:r w:rsidR="0019565A" w:rsidRPr="00200825">
        <w:rPr>
          <w:rFonts w:asciiTheme="majorHAnsi" w:hAnsiTheme="majorHAnsi"/>
          <w:sz w:val="28"/>
          <w:szCs w:val="28"/>
        </w:rPr>
        <w:t>тобто</w:t>
      </w:r>
      <w:r w:rsidR="000D2438" w:rsidRPr="00200825">
        <w:rPr>
          <w:rFonts w:asciiTheme="majorHAnsi" w:hAnsiTheme="majorHAnsi"/>
          <w:sz w:val="28"/>
          <w:szCs w:val="28"/>
        </w:rPr>
        <w:t>,</w:t>
      </w:r>
      <w:r w:rsidRPr="00200825">
        <w:rPr>
          <w:rFonts w:asciiTheme="majorHAnsi" w:hAnsiTheme="majorHAnsi"/>
          <w:sz w:val="28"/>
          <w:szCs w:val="28"/>
        </w:rPr>
        <w:t xml:space="preserve"> </w:t>
      </w:r>
      <w:r w:rsidR="0019565A" w:rsidRPr="00200825">
        <w:rPr>
          <w:rFonts w:asciiTheme="majorHAnsi" w:hAnsiTheme="majorHAnsi"/>
          <w:sz w:val="28"/>
          <w:szCs w:val="28"/>
        </w:rPr>
        <w:t xml:space="preserve">мають бути взяті до уваги </w:t>
      </w:r>
      <w:r w:rsidRPr="00200825">
        <w:rPr>
          <w:rFonts w:asciiTheme="majorHAnsi" w:hAnsiTheme="majorHAnsi"/>
          <w:sz w:val="28"/>
          <w:szCs w:val="28"/>
        </w:rPr>
        <w:t>типові ефекти матриці, перешкоди тощо</w:t>
      </w:r>
      <w:r w:rsidR="000D2438" w:rsidRPr="00200825">
        <w:rPr>
          <w:rFonts w:asciiTheme="majorHAnsi" w:hAnsiTheme="majorHAnsi"/>
          <w:sz w:val="28"/>
          <w:szCs w:val="28"/>
        </w:rPr>
        <w:t xml:space="preserve">. </w:t>
      </w:r>
      <w:r w:rsidR="0070685E">
        <w:rPr>
          <w:rFonts w:asciiTheme="majorHAnsi" w:hAnsiTheme="majorHAnsi"/>
          <w:sz w:val="28"/>
          <w:szCs w:val="28"/>
        </w:rPr>
        <w:t>Непевність</w:t>
      </w:r>
      <w:r w:rsidR="002E7073" w:rsidRPr="00200825">
        <w:rPr>
          <w:rFonts w:asciiTheme="majorHAnsi" w:hAnsiTheme="majorHAnsi"/>
          <w:sz w:val="28"/>
          <w:szCs w:val="28"/>
        </w:rPr>
        <w:t xml:space="preserve">, охоплена CMC, як правило, не включатиме </w:t>
      </w:r>
      <w:r w:rsidR="008154DE" w:rsidRPr="00200825">
        <w:rPr>
          <w:rFonts w:asciiTheme="majorHAnsi" w:hAnsiTheme="majorHAnsi"/>
          <w:sz w:val="28"/>
          <w:szCs w:val="28"/>
        </w:rPr>
        <w:t>вплив</w:t>
      </w:r>
      <w:r w:rsidR="002E7073" w:rsidRPr="00200825">
        <w:rPr>
          <w:rFonts w:asciiTheme="majorHAnsi" w:hAnsiTheme="majorHAnsi"/>
          <w:sz w:val="28"/>
          <w:szCs w:val="28"/>
        </w:rPr>
        <w:t>и, що виникають через нестабільність або неоднорідність матеріалу.</w:t>
      </w:r>
      <w:r w:rsidR="00272F0D" w:rsidRPr="00200825">
        <w:rPr>
          <w:rFonts w:asciiTheme="majorHAnsi" w:hAnsiTheme="majorHAnsi"/>
          <w:sz w:val="28"/>
          <w:szCs w:val="28"/>
        </w:rPr>
        <w:t xml:space="preserve"> CMC повинен ґрунтуватися на аналізі </w:t>
      </w:r>
      <w:r w:rsidR="00BA7356" w:rsidRPr="00200825">
        <w:rPr>
          <w:rFonts w:asciiTheme="majorHAnsi" w:hAnsiTheme="majorHAnsi"/>
          <w:sz w:val="28"/>
          <w:szCs w:val="28"/>
        </w:rPr>
        <w:t xml:space="preserve">характерної продуктивності </w:t>
      </w:r>
      <w:r w:rsidR="00272F0D" w:rsidRPr="00200825">
        <w:rPr>
          <w:rFonts w:asciiTheme="majorHAnsi" w:hAnsiTheme="majorHAnsi"/>
          <w:sz w:val="28"/>
          <w:szCs w:val="28"/>
        </w:rPr>
        <w:t xml:space="preserve">методу </w:t>
      </w:r>
      <w:r w:rsidR="00BA7356" w:rsidRPr="00200825">
        <w:rPr>
          <w:rFonts w:asciiTheme="majorHAnsi" w:hAnsiTheme="majorHAnsi"/>
          <w:sz w:val="28"/>
          <w:szCs w:val="28"/>
        </w:rPr>
        <w:t>для</w:t>
      </w:r>
      <w:r w:rsidR="00272F0D" w:rsidRPr="00200825">
        <w:rPr>
          <w:rFonts w:asciiTheme="majorHAnsi" w:hAnsiTheme="majorHAnsi"/>
          <w:sz w:val="28"/>
          <w:szCs w:val="28"/>
        </w:rPr>
        <w:t xml:space="preserve"> типових стабільних і однорідних зразків.</w:t>
      </w:r>
    </w:p>
    <w:p w14:paraId="21C21CED" w14:textId="77777777" w:rsidR="00FD62ED" w:rsidRPr="00200825" w:rsidRDefault="00FD62ED" w:rsidP="00FD62ED">
      <w:pPr>
        <w:pStyle w:val="a3"/>
        <w:spacing w:after="0"/>
        <w:jc w:val="both"/>
        <w:rPr>
          <w:rFonts w:asciiTheme="majorHAnsi" w:hAnsiTheme="majorHAnsi"/>
          <w:sz w:val="28"/>
          <w:szCs w:val="28"/>
        </w:rPr>
      </w:pPr>
    </w:p>
    <w:p w14:paraId="2EDC6346" w14:textId="77777777" w:rsidR="00FD62ED" w:rsidRPr="00200825" w:rsidRDefault="00FD62ED" w:rsidP="00FD62ED">
      <w:pPr>
        <w:pStyle w:val="a3"/>
        <w:spacing w:after="0"/>
        <w:jc w:val="both"/>
        <w:rPr>
          <w:rFonts w:asciiTheme="majorHAnsi" w:hAnsiTheme="majorHAnsi"/>
          <w:i/>
          <w:sz w:val="28"/>
          <w:szCs w:val="28"/>
        </w:rPr>
      </w:pPr>
      <w:r w:rsidRPr="00200825">
        <w:rPr>
          <w:rFonts w:asciiTheme="majorHAnsi" w:hAnsiTheme="majorHAnsi"/>
          <w:b/>
          <w:i/>
          <w:sz w:val="28"/>
          <w:szCs w:val="28"/>
        </w:rPr>
        <w:t>Примітка:</w:t>
      </w:r>
      <w:r w:rsidRPr="00200825">
        <w:rPr>
          <w:rFonts w:asciiTheme="majorHAnsi" w:hAnsiTheme="majorHAnsi"/>
          <w:i/>
          <w:sz w:val="28"/>
          <w:szCs w:val="28"/>
        </w:rPr>
        <w:t xml:space="preserve"> </w:t>
      </w:r>
      <w:r w:rsidR="0070685E">
        <w:rPr>
          <w:rFonts w:asciiTheme="majorHAnsi" w:hAnsiTheme="majorHAnsi"/>
          <w:i/>
          <w:sz w:val="28"/>
          <w:szCs w:val="28"/>
        </w:rPr>
        <w:t>Непевність</w:t>
      </w:r>
      <w:r w:rsidRPr="00200825">
        <w:rPr>
          <w:rFonts w:asciiTheme="majorHAnsi" w:hAnsiTheme="majorHAnsi"/>
          <w:i/>
          <w:sz w:val="28"/>
          <w:szCs w:val="28"/>
        </w:rPr>
        <w:t xml:space="preserve">, описана CMC для вимірювання </w:t>
      </w:r>
      <w:r w:rsidR="00397F4B" w:rsidRPr="00200825">
        <w:rPr>
          <w:rFonts w:asciiTheme="majorHAnsi" w:hAnsiTheme="majorHAnsi"/>
          <w:i/>
          <w:sz w:val="28"/>
          <w:szCs w:val="28"/>
        </w:rPr>
        <w:t>референтного</w:t>
      </w:r>
      <w:r w:rsidR="00F75D72" w:rsidRPr="00200825">
        <w:rPr>
          <w:rFonts w:asciiTheme="majorHAnsi" w:hAnsiTheme="majorHAnsi"/>
          <w:i/>
          <w:sz w:val="28"/>
          <w:szCs w:val="28"/>
        </w:rPr>
        <w:t xml:space="preserve"> значення, не є тотожною</w:t>
      </w:r>
      <w:r w:rsidRPr="00200825">
        <w:rPr>
          <w:rFonts w:asciiTheme="majorHAnsi" w:hAnsiTheme="majorHAnsi"/>
          <w:i/>
          <w:sz w:val="28"/>
          <w:szCs w:val="28"/>
        </w:rPr>
        <w:t xml:space="preserve"> </w:t>
      </w:r>
      <w:r w:rsidR="00702D15">
        <w:rPr>
          <w:rFonts w:asciiTheme="majorHAnsi" w:hAnsiTheme="majorHAnsi"/>
          <w:i/>
          <w:sz w:val="28"/>
          <w:szCs w:val="28"/>
        </w:rPr>
        <w:t>непевності</w:t>
      </w:r>
      <w:r w:rsidRPr="00200825">
        <w:rPr>
          <w:rFonts w:asciiTheme="majorHAnsi" w:hAnsiTheme="majorHAnsi"/>
          <w:i/>
          <w:sz w:val="28"/>
          <w:szCs w:val="28"/>
        </w:rPr>
        <w:t xml:space="preserve">, </w:t>
      </w:r>
      <w:r w:rsidR="00F75D72" w:rsidRPr="00200825">
        <w:rPr>
          <w:rFonts w:asciiTheme="majorHAnsi" w:hAnsiTheme="majorHAnsi"/>
          <w:i/>
          <w:sz w:val="28"/>
          <w:szCs w:val="28"/>
        </w:rPr>
        <w:t>яка пов’язана</w:t>
      </w:r>
      <w:r w:rsidRPr="00200825">
        <w:rPr>
          <w:rFonts w:asciiTheme="majorHAnsi" w:hAnsiTheme="majorHAnsi"/>
          <w:i/>
          <w:sz w:val="28"/>
          <w:szCs w:val="28"/>
        </w:rPr>
        <w:t xml:space="preserve"> з </w:t>
      </w:r>
      <w:r w:rsidR="00340D2C" w:rsidRPr="00200825">
        <w:rPr>
          <w:rFonts w:asciiTheme="majorHAnsi" w:hAnsiTheme="majorHAnsi"/>
          <w:i/>
          <w:sz w:val="28"/>
          <w:szCs w:val="28"/>
        </w:rPr>
        <w:t>референтним матеріалом наданим</w:t>
      </w:r>
      <w:r w:rsidR="009A5ED9" w:rsidRPr="00200825">
        <w:rPr>
          <w:rFonts w:asciiTheme="majorHAnsi" w:hAnsiTheme="majorHAnsi"/>
          <w:i/>
          <w:sz w:val="28"/>
          <w:szCs w:val="28"/>
        </w:rPr>
        <w:t xml:space="preserve"> виробником</w:t>
      </w:r>
      <w:r w:rsidRPr="00200825">
        <w:rPr>
          <w:rFonts w:asciiTheme="majorHAnsi" w:hAnsiTheme="majorHAnsi"/>
          <w:i/>
          <w:sz w:val="28"/>
          <w:szCs w:val="28"/>
        </w:rPr>
        <w:t>.</w:t>
      </w:r>
      <w:r w:rsidR="00F75D72" w:rsidRPr="00200825">
        <w:rPr>
          <w:rFonts w:asciiTheme="majorHAnsi" w:hAnsiTheme="majorHAnsi"/>
          <w:i/>
          <w:sz w:val="28"/>
          <w:szCs w:val="28"/>
        </w:rPr>
        <w:t xml:space="preserve"> </w:t>
      </w:r>
      <w:r w:rsidR="00340D2C" w:rsidRPr="00200825">
        <w:rPr>
          <w:rFonts w:asciiTheme="majorHAnsi" w:hAnsiTheme="majorHAnsi"/>
          <w:i/>
          <w:sz w:val="28"/>
          <w:szCs w:val="28"/>
        </w:rPr>
        <w:t>Узагалі</w:t>
      </w:r>
      <w:r w:rsidR="009157A8" w:rsidRPr="00200825">
        <w:rPr>
          <w:rFonts w:asciiTheme="majorHAnsi" w:hAnsiTheme="majorHAnsi"/>
          <w:i/>
          <w:sz w:val="28"/>
          <w:szCs w:val="28"/>
        </w:rPr>
        <w:t xml:space="preserve"> розширена </w:t>
      </w:r>
      <w:r w:rsidR="0070685E">
        <w:rPr>
          <w:rFonts w:asciiTheme="majorHAnsi" w:hAnsiTheme="majorHAnsi"/>
          <w:i/>
          <w:sz w:val="28"/>
          <w:szCs w:val="28"/>
        </w:rPr>
        <w:t>непевність</w:t>
      </w:r>
      <w:r w:rsidR="009157A8" w:rsidRPr="00200825">
        <w:rPr>
          <w:rFonts w:asciiTheme="majorHAnsi" w:hAnsiTheme="majorHAnsi"/>
          <w:i/>
          <w:sz w:val="28"/>
          <w:szCs w:val="28"/>
        </w:rPr>
        <w:t xml:space="preserve"> сертифікованого </w:t>
      </w:r>
      <w:r w:rsidR="009A5ED9" w:rsidRPr="00200825">
        <w:rPr>
          <w:rFonts w:asciiTheme="majorHAnsi" w:hAnsiTheme="majorHAnsi"/>
          <w:i/>
          <w:sz w:val="28"/>
          <w:szCs w:val="28"/>
        </w:rPr>
        <w:t>референтного матеріалу</w:t>
      </w:r>
      <w:r w:rsidR="009157A8" w:rsidRPr="00200825">
        <w:rPr>
          <w:rFonts w:asciiTheme="majorHAnsi" w:hAnsiTheme="majorHAnsi"/>
          <w:i/>
          <w:sz w:val="28"/>
          <w:szCs w:val="28"/>
        </w:rPr>
        <w:t xml:space="preserve"> буде вищою, ніж </w:t>
      </w:r>
      <w:r w:rsidR="0070685E">
        <w:rPr>
          <w:rFonts w:asciiTheme="majorHAnsi" w:hAnsiTheme="majorHAnsi"/>
          <w:i/>
          <w:sz w:val="28"/>
          <w:szCs w:val="28"/>
        </w:rPr>
        <w:t>непевність</w:t>
      </w:r>
      <w:r w:rsidR="009157A8" w:rsidRPr="00200825">
        <w:rPr>
          <w:rFonts w:asciiTheme="majorHAnsi" w:hAnsiTheme="majorHAnsi"/>
          <w:i/>
          <w:sz w:val="28"/>
          <w:szCs w:val="28"/>
        </w:rPr>
        <w:t xml:space="preserve">, </w:t>
      </w:r>
      <w:r w:rsidR="00983952" w:rsidRPr="00200825">
        <w:rPr>
          <w:rFonts w:asciiTheme="majorHAnsi" w:hAnsiTheme="majorHAnsi"/>
          <w:i/>
          <w:sz w:val="28"/>
          <w:szCs w:val="28"/>
        </w:rPr>
        <w:t xml:space="preserve">описана CMC для вимірювання </w:t>
      </w:r>
      <w:r w:rsidR="00DE38CA" w:rsidRPr="00200825">
        <w:rPr>
          <w:rFonts w:asciiTheme="majorHAnsi" w:hAnsiTheme="majorHAnsi"/>
          <w:i/>
          <w:sz w:val="28"/>
          <w:szCs w:val="28"/>
        </w:rPr>
        <w:t>референтного</w:t>
      </w:r>
      <w:r w:rsidR="00983952" w:rsidRPr="00200825">
        <w:rPr>
          <w:rFonts w:asciiTheme="majorHAnsi" w:hAnsiTheme="majorHAnsi"/>
          <w:i/>
          <w:sz w:val="28"/>
          <w:szCs w:val="28"/>
        </w:rPr>
        <w:t xml:space="preserve"> значення </w:t>
      </w:r>
      <w:r w:rsidR="00DE38CA" w:rsidRPr="00200825">
        <w:rPr>
          <w:rFonts w:asciiTheme="majorHAnsi" w:hAnsiTheme="majorHAnsi"/>
          <w:i/>
          <w:sz w:val="28"/>
          <w:szCs w:val="28"/>
        </w:rPr>
        <w:t>на референтному зразку</w:t>
      </w:r>
      <w:r w:rsidR="009157A8" w:rsidRPr="00200825">
        <w:rPr>
          <w:rFonts w:asciiTheme="majorHAnsi" w:hAnsiTheme="majorHAnsi"/>
          <w:i/>
          <w:sz w:val="28"/>
          <w:szCs w:val="28"/>
        </w:rPr>
        <w:t>.</w:t>
      </w:r>
    </w:p>
    <w:p w14:paraId="57D95097" w14:textId="77777777" w:rsidR="00983952" w:rsidRPr="00200825" w:rsidRDefault="00983952" w:rsidP="00FD62ED">
      <w:pPr>
        <w:pStyle w:val="a3"/>
        <w:spacing w:after="0"/>
        <w:jc w:val="both"/>
        <w:rPr>
          <w:rFonts w:asciiTheme="majorHAnsi" w:hAnsiTheme="majorHAnsi"/>
          <w:i/>
          <w:sz w:val="28"/>
          <w:szCs w:val="28"/>
        </w:rPr>
      </w:pPr>
    </w:p>
    <w:p w14:paraId="46F59ABB" w14:textId="77777777" w:rsidR="00983952" w:rsidRPr="00200825" w:rsidRDefault="00983952" w:rsidP="00983952">
      <w:pPr>
        <w:pStyle w:val="a3"/>
        <w:numPr>
          <w:ilvl w:val="0"/>
          <w:numId w:val="4"/>
        </w:numPr>
        <w:spacing w:after="0"/>
        <w:jc w:val="both"/>
        <w:rPr>
          <w:rFonts w:asciiTheme="majorHAnsi" w:hAnsiTheme="majorHAnsi"/>
          <w:b/>
          <w:sz w:val="28"/>
          <w:szCs w:val="28"/>
        </w:rPr>
      </w:pPr>
      <w:r w:rsidRPr="00200825">
        <w:rPr>
          <w:rFonts w:asciiTheme="majorHAnsi" w:hAnsiTheme="majorHAnsi"/>
          <w:b/>
          <w:sz w:val="28"/>
          <w:szCs w:val="28"/>
        </w:rPr>
        <w:t xml:space="preserve">Політика ILAC щодо заяв про </w:t>
      </w:r>
      <w:r w:rsidR="0070685E">
        <w:rPr>
          <w:rFonts w:asciiTheme="majorHAnsi" w:hAnsiTheme="majorHAnsi"/>
          <w:b/>
          <w:sz w:val="28"/>
          <w:szCs w:val="28"/>
        </w:rPr>
        <w:t>непевність</w:t>
      </w:r>
      <w:r w:rsidRPr="00200825">
        <w:rPr>
          <w:rFonts w:asciiTheme="majorHAnsi" w:hAnsiTheme="majorHAnsi"/>
          <w:b/>
          <w:sz w:val="28"/>
          <w:szCs w:val="28"/>
        </w:rPr>
        <w:t xml:space="preserve"> вимірювання у сертифікатах калібрування</w:t>
      </w:r>
    </w:p>
    <w:p w14:paraId="573DC4A9" w14:textId="77777777" w:rsidR="00983952" w:rsidRPr="00200825" w:rsidRDefault="00983952" w:rsidP="00983952">
      <w:pPr>
        <w:pStyle w:val="a3"/>
        <w:spacing w:after="0"/>
        <w:jc w:val="both"/>
        <w:rPr>
          <w:rFonts w:asciiTheme="majorHAnsi" w:hAnsiTheme="majorHAnsi"/>
          <w:b/>
          <w:sz w:val="28"/>
          <w:szCs w:val="28"/>
        </w:rPr>
      </w:pPr>
    </w:p>
    <w:p w14:paraId="77AE613B" w14:textId="77777777" w:rsidR="00983952" w:rsidRPr="00200825" w:rsidRDefault="00983952" w:rsidP="000B3932">
      <w:pPr>
        <w:pStyle w:val="a3"/>
        <w:numPr>
          <w:ilvl w:val="1"/>
          <w:numId w:val="4"/>
        </w:numPr>
        <w:spacing w:after="0"/>
        <w:jc w:val="both"/>
        <w:rPr>
          <w:rFonts w:asciiTheme="majorHAnsi" w:hAnsiTheme="majorHAnsi"/>
          <w:sz w:val="28"/>
          <w:szCs w:val="28"/>
        </w:rPr>
      </w:pPr>
      <w:r w:rsidRPr="00200825">
        <w:rPr>
          <w:rFonts w:asciiTheme="majorHAnsi" w:hAnsiTheme="majorHAnsi"/>
          <w:sz w:val="28"/>
          <w:szCs w:val="28"/>
        </w:rPr>
        <w:t>Орган</w:t>
      </w:r>
      <w:r w:rsidR="0096508F" w:rsidRPr="00200825">
        <w:rPr>
          <w:rFonts w:asciiTheme="majorHAnsi" w:hAnsiTheme="majorHAnsi"/>
          <w:sz w:val="28"/>
          <w:szCs w:val="28"/>
        </w:rPr>
        <w:t>у</w:t>
      </w:r>
      <w:r w:rsidRPr="00200825">
        <w:rPr>
          <w:rFonts w:asciiTheme="majorHAnsi" w:hAnsiTheme="majorHAnsi"/>
          <w:sz w:val="28"/>
          <w:szCs w:val="28"/>
        </w:rPr>
        <w:t xml:space="preserve"> з акредитації необхідно гарантувати, що акредитована калібрувальна лабораторія звіт</w:t>
      </w:r>
      <w:r w:rsidR="000B3932" w:rsidRPr="00200825">
        <w:rPr>
          <w:rFonts w:asciiTheme="majorHAnsi" w:hAnsiTheme="majorHAnsi"/>
          <w:sz w:val="28"/>
          <w:szCs w:val="28"/>
        </w:rPr>
        <w:t xml:space="preserve">ує про </w:t>
      </w:r>
      <w:r w:rsidR="0070685E">
        <w:rPr>
          <w:rFonts w:asciiTheme="majorHAnsi" w:hAnsiTheme="majorHAnsi"/>
          <w:sz w:val="28"/>
          <w:szCs w:val="28"/>
        </w:rPr>
        <w:t>непевність</w:t>
      </w:r>
      <w:r w:rsidR="000B3932" w:rsidRPr="00200825">
        <w:rPr>
          <w:rFonts w:asciiTheme="majorHAnsi" w:hAnsiTheme="majorHAnsi"/>
          <w:sz w:val="28"/>
          <w:szCs w:val="28"/>
        </w:rPr>
        <w:t xml:space="preserve"> вимірювання</w:t>
      </w:r>
      <w:r w:rsidRPr="00200825">
        <w:rPr>
          <w:rFonts w:asciiTheme="majorHAnsi" w:hAnsiTheme="majorHAnsi"/>
          <w:sz w:val="28"/>
          <w:szCs w:val="28"/>
        </w:rPr>
        <w:t xml:space="preserve"> відповідно до GUM.</w:t>
      </w:r>
    </w:p>
    <w:p w14:paraId="77D50C77" w14:textId="77777777" w:rsidR="00D232BA" w:rsidRPr="00200825" w:rsidRDefault="00D232BA" w:rsidP="00D232BA">
      <w:pPr>
        <w:pStyle w:val="a3"/>
        <w:spacing w:after="0"/>
        <w:ind w:left="1130"/>
        <w:jc w:val="both"/>
        <w:rPr>
          <w:rFonts w:asciiTheme="majorHAnsi" w:hAnsiTheme="majorHAnsi"/>
          <w:sz w:val="28"/>
          <w:szCs w:val="28"/>
        </w:rPr>
      </w:pPr>
    </w:p>
    <w:p w14:paraId="434C3122" w14:textId="77777777" w:rsidR="000B3932" w:rsidRPr="00200825" w:rsidRDefault="004A7C85" w:rsidP="004A7C85">
      <w:pPr>
        <w:pStyle w:val="a3"/>
        <w:numPr>
          <w:ilvl w:val="1"/>
          <w:numId w:val="4"/>
        </w:numPr>
        <w:spacing w:after="0"/>
        <w:jc w:val="both"/>
        <w:rPr>
          <w:rFonts w:asciiTheme="majorHAnsi" w:hAnsiTheme="majorHAnsi"/>
          <w:sz w:val="28"/>
          <w:szCs w:val="28"/>
        </w:rPr>
      </w:pPr>
      <w:r w:rsidRPr="00200825">
        <w:rPr>
          <w:rFonts w:asciiTheme="majorHAnsi" w:hAnsiTheme="majorHAnsi"/>
          <w:sz w:val="28"/>
          <w:szCs w:val="28"/>
        </w:rPr>
        <w:t xml:space="preserve">Результат вимірювання необхідно </w:t>
      </w:r>
      <w:r w:rsidR="00D232BA" w:rsidRPr="00200825">
        <w:rPr>
          <w:rFonts w:asciiTheme="majorHAnsi" w:hAnsiTheme="majorHAnsi"/>
          <w:sz w:val="28"/>
          <w:szCs w:val="28"/>
        </w:rPr>
        <w:t>включи</w:t>
      </w:r>
      <w:r w:rsidRPr="00200825">
        <w:rPr>
          <w:rFonts w:asciiTheme="majorHAnsi" w:hAnsiTheme="majorHAnsi"/>
          <w:sz w:val="28"/>
          <w:szCs w:val="28"/>
        </w:rPr>
        <w:t xml:space="preserve">ти виміряне значення величини та відповідну розширену </w:t>
      </w:r>
      <w:r w:rsidR="0070685E">
        <w:rPr>
          <w:rFonts w:asciiTheme="majorHAnsi" w:hAnsiTheme="majorHAnsi"/>
          <w:sz w:val="28"/>
          <w:szCs w:val="28"/>
        </w:rPr>
        <w:t>непевність</w:t>
      </w:r>
      <w:r w:rsidRPr="00200825">
        <w:rPr>
          <w:rFonts w:asciiTheme="majorHAnsi" w:hAnsiTheme="majorHAnsi"/>
          <w:sz w:val="28"/>
          <w:szCs w:val="28"/>
        </w:rPr>
        <w:t xml:space="preserve"> </w:t>
      </w:r>
      <w:r w:rsidRPr="00200825">
        <w:rPr>
          <w:rFonts w:asciiTheme="majorHAnsi" w:hAnsiTheme="majorHAnsi"/>
          <w:i/>
          <w:sz w:val="28"/>
          <w:szCs w:val="28"/>
        </w:rPr>
        <w:t>U</w:t>
      </w:r>
      <w:r w:rsidRPr="00200825">
        <w:rPr>
          <w:rFonts w:asciiTheme="majorHAnsi" w:hAnsiTheme="majorHAnsi"/>
          <w:sz w:val="28"/>
          <w:szCs w:val="28"/>
        </w:rPr>
        <w:t xml:space="preserve">. У сертифікатах калібрування результат вимірювання </w:t>
      </w:r>
      <w:r w:rsidR="00D232BA" w:rsidRPr="00200825">
        <w:rPr>
          <w:rFonts w:asciiTheme="majorHAnsi" w:hAnsiTheme="majorHAnsi"/>
          <w:sz w:val="28"/>
          <w:szCs w:val="28"/>
        </w:rPr>
        <w:t>необхідно повідомити</w:t>
      </w:r>
      <w:r w:rsidRPr="00200825">
        <w:rPr>
          <w:rFonts w:asciiTheme="majorHAnsi" w:hAnsiTheme="majorHAnsi"/>
          <w:sz w:val="28"/>
          <w:szCs w:val="28"/>
        </w:rPr>
        <w:t xml:space="preserve"> як </w:t>
      </w:r>
      <w:r w:rsidRPr="00200825">
        <w:rPr>
          <w:rFonts w:asciiTheme="majorHAnsi" w:hAnsiTheme="majorHAnsi"/>
          <w:i/>
          <w:sz w:val="28"/>
          <w:szCs w:val="28"/>
        </w:rPr>
        <w:t>y ± U</w:t>
      </w:r>
      <w:r w:rsidRPr="00200825">
        <w:rPr>
          <w:rFonts w:asciiTheme="majorHAnsi" w:hAnsiTheme="majorHAnsi"/>
          <w:sz w:val="28"/>
          <w:szCs w:val="28"/>
        </w:rPr>
        <w:t xml:space="preserve">, пов’язане з одиницями </w:t>
      </w:r>
      <w:r w:rsidRPr="00200825">
        <w:rPr>
          <w:rFonts w:asciiTheme="majorHAnsi" w:hAnsiTheme="majorHAnsi"/>
          <w:i/>
          <w:sz w:val="28"/>
          <w:szCs w:val="28"/>
        </w:rPr>
        <w:t>y</w:t>
      </w:r>
      <w:r w:rsidRPr="00200825">
        <w:rPr>
          <w:rFonts w:asciiTheme="majorHAnsi" w:hAnsiTheme="majorHAnsi"/>
          <w:sz w:val="28"/>
          <w:szCs w:val="28"/>
        </w:rPr>
        <w:t xml:space="preserve"> та </w:t>
      </w:r>
      <w:r w:rsidRPr="00200825">
        <w:rPr>
          <w:rFonts w:asciiTheme="majorHAnsi" w:hAnsiTheme="majorHAnsi"/>
          <w:i/>
          <w:sz w:val="28"/>
          <w:szCs w:val="28"/>
        </w:rPr>
        <w:t>U</w:t>
      </w:r>
      <w:r w:rsidRPr="00200825">
        <w:rPr>
          <w:rFonts w:asciiTheme="majorHAnsi" w:hAnsiTheme="majorHAnsi"/>
          <w:sz w:val="28"/>
          <w:szCs w:val="28"/>
        </w:rPr>
        <w:t xml:space="preserve">. Табличне представлення результату вимірювання може бути використане і відносна розширена </w:t>
      </w:r>
      <w:r w:rsidR="0070685E">
        <w:rPr>
          <w:rFonts w:asciiTheme="majorHAnsi" w:hAnsiTheme="majorHAnsi"/>
          <w:sz w:val="28"/>
          <w:szCs w:val="28"/>
        </w:rPr>
        <w:t>непевність</w:t>
      </w:r>
      <w:r w:rsidRPr="00200825">
        <w:rPr>
          <w:rFonts w:asciiTheme="majorHAnsi" w:hAnsiTheme="majorHAnsi"/>
          <w:sz w:val="28"/>
          <w:szCs w:val="28"/>
        </w:rPr>
        <w:t xml:space="preserve"> </w:t>
      </w:r>
      <w:r w:rsidRPr="00200825">
        <w:rPr>
          <w:rFonts w:asciiTheme="majorHAnsi" w:hAnsiTheme="majorHAnsi"/>
          <w:i/>
          <w:sz w:val="28"/>
          <w:szCs w:val="28"/>
        </w:rPr>
        <w:t>U</w:t>
      </w:r>
      <w:r w:rsidR="0041062C" w:rsidRPr="00200825">
        <w:rPr>
          <w:rFonts w:asciiTheme="majorHAnsi" w:hAnsiTheme="majorHAnsi"/>
          <w:sz w:val="28"/>
          <w:szCs w:val="28"/>
        </w:rPr>
        <w:t xml:space="preserve"> /</w:t>
      </w:r>
      <w:r w:rsidRPr="00200825">
        <w:rPr>
          <w:rFonts w:asciiTheme="majorHAnsi" w:hAnsiTheme="majorHAnsi"/>
          <w:sz w:val="28"/>
          <w:szCs w:val="28"/>
        </w:rPr>
        <w:t>|</w:t>
      </w:r>
      <w:r w:rsidRPr="00200825">
        <w:rPr>
          <w:rFonts w:asciiTheme="majorHAnsi" w:hAnsiTheme="majorHAnsi"/>
          <w:i/>
          <w:sz w:val="28"/>
          <w:szCs w:val="28"/>
        </w:rPr>
        <w:t>y</w:t>
      </w:r>
      <w:r w:rsidR="0041062C" w:rsidRPr="00200825">
        <w:rPr>
          <w:rFonts w:asciiTheme="majorHAnsi" w:hAnsiTheme="majorHAnsi"/>
          <w:sz w:val="28"/>
          <w:szCs w:val="28"/>
        </w:rPr>
        <w:t>| також може бути надана</w:t>
      </w:r>
      <w:r w:rsidRPr="00200825">
        <w:rPr>
          <w:rFonts w:asciiTheme="majorHAnsi" w:hAnsiTheme="majorHAnsi"/>
          <w:sz w:val="28"/>
          <w:szCs w:val="28"/>
        </w:rPr>
        <w:t>, якщо це необхідно</w:t>
      </w:r>
      <w:r w:rsidR="0096508F" w:rsidRPr="00200825">
        <w:rPr>
          <w:rFonts w:asciiTheme="majorHAnsi" w:hAnsiTheme="majorHAnsi"/>
          <w:sz w:val="28"/>
          <w:szCs w:val="28"/>
        </w:rPr>
        <w:t>.</w:t>
      </w:r>
    </w:p>
    <w:p w14:paraId="5D05C196" w14:textId="77777777" w:rsidR="0096508F" w:rsidRPr="00200825" w:rsidRDefault="0096508F" w:rsidP="0096508F">
      <w:pPr>
        <w:pStyle w:val="a3"/>
        <w:spacing w:after="0"/>
        <w:ind w:left="1130"/>
        <w:jc w:val="both"/>
        <w:rPr>
          <w:rFonts w:asciiTheme="majorHAnsi" w:hAnsiTheme="majorHAnsi"/>
          <w:sz w:val="28"/>
          <w:szCs w:val="28"/>
        </w:rPr>
      </w:pPr>
    </w:p>
    <w:p w14:paraId="40E08856" w14:textId="77777777" w:rsidR="0096508F" w:rsidRPr="00200825" w:rsidRDefault="0096508F" w:rsidP="0096508F">
      <w:pPr>
        <w:pStyle w:val="a3"/>
        <w:spacing w:after="0"/>
        <w:ind w:left="1130"/>
        <w:jc w:val="both"/>
        <w:rPr>
          <w:rFonts w:asciiTheme="majorHAnsi" w:hAnsiTheme="majorHAnsi"/>
          <w:i/>
          <w:sz w:val="28"/>
          <w:szCs w:val="28"/>
        </w:rPr>
      </w:pPr>
      <w:r w:rsidRPr="00200825">
        <w:rPr>
          <w:rFonts w:asciiTheme="majorHAnsi" w:hAnsiTheme="majorHAnsi"/>
          <w:i/>
          <w:sz w:val="28"/>
          <w:szCs w:val="28"/>
        </w:rPr>
        <w:t>«</w:t>
      </w:r>
      <w:r w:rsidR="004D36E7" w:rsidRPr="00200825">
        <w:rPr>
          <w:rFonts w:asciiTheme="majorHAnsi" w:hAnsiTheme="majorHAnsi"/>
          <w:i/>
          <w:sz w:val="28"/>
          <w:szCs w:val="28"/>
        </w:rPr>
        <w:t>Виявлену</w:t>
      </w:r>
      <w:r w:rsidRPr="00200825">
        <w:rPr>
          <w:rFonts w:asciiTheme="majorHAnsi" w:hAnsiTheme="majorHAnsi"/>
          <w:i/>
          <w:sz w:val="28"/>
          <w:szCs w:val="28"/>
        </w:rPr>
        <w:t xml:space="preserve"> розширену </w:t>
      </w:r>
      <w:r w:rsidR="0070685E">
        <w:rPr>
          <w:rFonts w:asciiTheme="majorHAnsi" w:hAnsiTheme="majorHAnsi"/>
          <w:i/>
          <w:sz w:val="28"/>
          <w:szCs w:val="28"/>
        </w:rPr>
        <w:t>непевність</w:t>
      </w:r>
      <w:r w:rsidRPr="00200825">
        <w:rPr>
          <w:rFonts w:asciiTheme="majorHAnsi" w:hAnsiTheme="majorHAnsi"/>
          <w:i/>
          <w:sz w:val="28"/>
          <w:szCs w:val="28"/>
        </w:rPr>
        <w:t xml:space="preserve"> вимі</w:t>
      </w:r>
      <w:r w:rsidR="00D00458" w:rsidRPr="00200825">
        <w:rPr>
          <w:rFonts w:asciiTheme="majorHAnsi" w:hAnsiTheme="majorHAnsi"/>
          <w:i/>
          <w:sz w:val="28"/>
          <w:szCs w:val="28"/>
        </w:rPr>
        <w:t xml:space="preserve">рювання вказують як стандартну </w:t>
      </w:r>
      <w:r w:rsidR="0070685E">
        <w:rPr>
          <w:rFonts w:asciiTheme="majorHAnsi" w:hAnsiTheme="majorHAnsi"/>
          <w:i/>
          <w:sz w:val="28"/>
          <w:szCs w:val="28"/>
        </w:rPr>
        <w:t>непевність</w:t>
      </w:r>
      <w:r w:rsidRPr="00200825">
        <w:rPr>
          <w:rFonts w:asciiTheme="majorHAnsi" w:hAnsiTheme="majorHAnsi"/>
          <w:i/>
          <w:sz w:val="28"/>
          <w:szCs w:val="28"/>
        </w:rPr>
        <w:t xml:space="preserve"> вимірювання, помножену на коефіцієнт охоплення k у такий спосіб, що ймовірність охоплення відповідає приблизно 95 %».</w:t>
      </w:r>
    </w:p>
    <w:p w14:paraId="00DB13DA" w14:textId="77777777" w:rsidR="008E3639" w:rsidRPr="00200825" w:rsidRDefault="008E3639" w:rsidP="0096508F">
      <w:pPr>
        <w:pStyle w:val="a3"/>
        <w:spacing w:after="0"/>
        <w:ind w:left="1130"/>
        <w:jc w:val="both"/>
        <w:rPr>
          <w:rFonts w:asciiTheme="majorHAnsi" w:hAnsiTheme="majorHAnsi"/>
          <w:i/>
          <w:sz w:val="28"/>
          <w:szCs w:val="28"/>
        </w:rPr>
      </w:pPr>
    </w:p>
    <w:p w14:paraId="6F95460B" w14:textId="77777777" w:rsidR="008E3639" w:rsidRPr="00200825" w:rsidRDefault="008E3639" w:rsidP="0096508F">
      <w:pPr>
        <w:pStyle w:val="a3"/>
        <w:spacing w:after="0"/>
        <w:ind w:left="1130"/>
        <w:jc w:val="both"/>
        <w:rPr>
          <w:rFonts w:asciiTheme="majorHAnsi" w:hAnsiTheme="majorHAnsi"/>
          <w:i/>
          <w:sz w:val="28"/>
          <w:szCs w:val="28"/>
        </w:rPr>
      </w:pPr>
      <w:r w:rsidRPr="00200825">
        <w:rPr>
          <w:rFonts w:asciiTheme="majorHAnsi" w:hAnsiTheme="majorHAnsi"/>
          <w:i/>
          <w:sz w:val="28"/>
          <w:szCs w:val="28"/>
        </w:rPr>
        <w:t>Примітка: Для асиметричних невизначеностей можуть знадобитися інші представлення, ніж y ± U. Це також стосується випадків, к</w:t>
      </w:r>
      <w:r w:rsidR="00F41C9E" w:rsidRPr="00200825">
        <w:rPr>
          <w:rFonts w:asciiTheme="majorHAnsi" w:hAnsiTheme="majorHAnsi"/>
          <w:i/>
          <w:sz w:val="28"/>
          <w:szCs w:val="28"/>
        </w:rPr>
        <w:t xml:space="preserve">оли </w:t>
      </w:r>
      <w:r w:rsidR="0070685E">
        <w:rPr>
          <w:rFonts w:asciiTheme="majorHAnsi" w:hAnsiTheme="majorHAnsi"/>
          <w:i/>
          <w:sz w:val="28"/>
          <w:szCs w:val="28"/>
        </w:rPr>
        <w:t>непевність</w:t>
      </w:r>
      <w:r w:rsidR="00F41C9E" w:rsidRPr="00200825">
        <w:rPr>
          <w:rFonts w:asciiTheme="majorHAnsi" w:hAnsiTheme="majorHAnsi"/>
          <w:i/>
          <w:sz w:val="28"/>
          <w:szCs w:val="28"/>
        </w:rPr>
        <w:t xml:space="preserve"> визначають моделюванням за методом Монте-Карло (поширення</w:t>
      </w:r>
      <w:r w:rsidRPr="00200825">
        <w:rPr>
          <w:rFonts w:asciiTheme="majorHAnsi" w:hAnsiTheme="majorHAnsi"/>
          <w:i/>
          <w:sz w:val="28"/>
          <w:szCs w:val="28"/>
        </w:rPr>
        <w:t xml:space="preserve"> розподілів) або логарифмічними одиницями.</w:t>
      </w:r>
    </w:p>
    <w:p w14:paraId="4CAD0883" w14:textId="77777777" w:rsidR="00F41C9E" w:rsidRPr="00200825" w:rsidRDefault="00F41C9E" w:rsidP="00F41C9E">
      <w:pPr>
        <w:pStyle w:val="a3"/>
        <w:spacing w:after="0"/>
        <w:ind w:left="1130"/>
        <w:jc w:val="both"/>
        <w:rPr>
          <w:rFonts w:asciiTheme="majorHAnsi" w:hAnsiTheme="majorHAnsi"/>
          <w:i/>
          <w:sz w:val="28"/>
          <w:szCs w:val="28"/>
        </w:rPr>
      </w:pPr>
    </w:p>
    <w:p w14:paraId="252C59FD" w14:textId="77777777" w:rsidR="00C93C76" w:rsidRPr="00200825" w:rsidRDefault="00F41C9E" w:rsidP="00C93C76">
      <w:pPr>
        <w:pStyle w:val="a3"/>
        <w:numPr>
          <w:ilvl w:val="1"/>
          <w:numId w:val="4"/>
        </w:numPr>
        <w:spacing w:after="0"/>
        <w:jc w:val="both"/>
        <w:rPr>
          <w:rFonts w:asciiTheme="majorHAnsi" w:hAnsiTheme="majorHAnsi"/>
          <w:sz w:val="28"/>
          <w:szCs w:val="28"/>
        </w:rPr>
      </w:pPr>
      <w:r w:rsidRPr="00200825">
        <w:rPr>
          <w:rFonts w:asciiTheme="majorHAnsi" w:hAnsiTheme="majorHAnsi"/>
          <w:sz w:val="28"/>
          <w:szCs w:val="28"/>
        </w:rPr>
        <w:t xml:space="preserve">Числове значення розширеної </w:t>
      </w:r>
      <w:r w:rsidR="00FF312B">
        <w:rPr>
          <w:rFonts w:asciiTheme="majorHAnsi" w:hAnsiTheme="majorHAnsi"/>
          <w:sz w:val="28"/>
          <w:szCs w:val="28"/>
        </w:rPr>
        <w:t>непевності</w:t>
      </w:r>
      <w:r w:rsidRPr="00200825">
        <w:rPr>
          <w:rFonts w:asciiTheme="majorHAnsi" w:hAnsiTheme="majorHAnsi"/>
          <w:sz w:val="28"/>
          <w:szCs w:val="28"/>
        </w:rPr>
        <w:t xml:space="preserve"> має бут</w:t>
      </w:r>
      <w:r w:rsidR="004D36E7" w:rsidRPr="00200825">
        <w:rPr>
          <w:rFonts w:asciiTheme="majorHAnsi" w:hAnsiTheme="majorHAnsi"/>
          <w:sz w:val="28"/>
          <w:szCs w:val="28"/>
        </w:rPr>
        <w:t xml:space="preserve">и вказано </w:t>
      </w:r>
      <w:r w:rsidRPr="00200825">
        <w:rPr>
          <w:rFonts w:asciiTheme="majorHAnsi" w:hAnsiTheme="majorHAnsi"/>
          <w:sz w:val="28"/>
          <w:szCs w:val="28"/>
        </w:rPr>
        <w:t>щонайбільше двома значущими цифрами.</w:t>
      </w:r>
      <w:r w:rsidR="00060B2D" w:rsidRPr="00200825">
        <w:rPr>
          <w:rFonts w:asciiTheme="majorHAnsi" w:hAnsiTheme="majorHAnsi"/>
          <w:sz w:val="28"/>
          <w:szCs w:val="28"/>
        </w:rPr>
        <w:t xml:space="preserve"> Якщо результат вимірювання було округлено, </w:t>
      </w:r>
      <w:r w:rsidR="00502745" w:rsidRPr="00200825">
        <w:rPr>
          <w:rFonts w:asciiTheme="majorHAnsi" w:hAnsiTheme="majorHAnsi"/>
          <w:sz w:val="28"/>
          <w:szCs w:val="28"/>
        </w:rPr>
        <w:t>то його</w:t>
      </w:r>
      <w:r w:rsidR="00060B2D" w:rsidRPr="00200825">
        <w:rPr>
          <w:rFonts w:asciiTheme="majorHAnsi" w:hAnsiTheme="majorHAnsi"/>
          <w:sz w:val="28"/>
          <w:szCs w:val="28"/>
        </w:rPr>
        <w:t xml:space="preserve"> </w:t>
      </w:r>
      <w:r w:rsidR="00502745" w:rsidRPr="00200825">
        <w:rPr>
          <w:rFonts w:asciiTheme="majorHAnsi" w:hAnsiTheme="majorHAnsi"/>
          <w:sz w:val="28"/>
          <w:szCs w:val="28"/>
        </w:rPr>
        <w:t>можна застосовувати</w:t>
      </w:r>
      <w:r w:rsidR="00060B2D" w:rsidRPr="00200825">
        <w:rPr>
          <w:rFonts w:asciiTheme="majorHAnsi" w:hAnsiTheme="majorHAnsi"/>
          <w:sz w:val="28"/>
          <w:szCs w:val="28"/>
        </w:rPr>
        <w:t xml:space="preserve"> після завершення всіх розрахунків; отримані значення можуть бути округлені для представлення.</w:t>
      </w:r>
      <w:r w:rsidR="00502745" w:rsidRPr="00200825">
        <w:rPr>
          <w:rFonts w:asciiTheme="majorHAnsi" w:hAnsiTheme="majorHAnsi"/>
          <w:sz w:val="28"/>
          <w:szCs w:val="28"/>
        </w:rPr>
        <w:t xml:space="preserve"> Для процесу округлення необхідно використовувати звичайні правила округлення чисел відповідно до рекомендацій щодо округлення, наведених у розділі 7 GUM.</w:t>
      </w:r>
    </w:p>
    <w:p w14:paraId="318514EE" w14:textId="77777777" w:rsidR="00C93C76" w:rsidRPr="00200825" w:rsidRDefault="00C93C76" w:rsidP="00C93C76">
      <w:pPr>
        <w:pStyle w:val="a3"/>
        <w:spacing w:after="0"/>
        <w:ind w:left="1130"/>
        <w:jc w:val="both"/>
        <w:rPr>
          <w:rFonts w:asciiTheme="majorHAnsi" w:hAnsiTheme="majorHAnsi"/>
          <w:sz w:val="28"/>
          <w:szCs w:val="28"/>
        </w:rPr>
      </w:pPr>
    </w:p>
    <w:p w14:paraId="5980B604" w14:textId="77777777" w:rsidR="00C93C76" w:rsidRPr="00200825" w:rsidRDefault="00C93C76" w:rsidP="00C93C76">
      <w:pPr>
        <w:pStyle w:val="a3"/>
        <w:spacing w:after="0"/>
        <w:ind w:left="1130"/>
        <w:jc w:val="both"/>
        <w:rPr>
          <w:rFonts w:asciiTheme="majorHAnsi" w:hAnsiTheme="majorHAnsi"/>
          <w:i/>
          <w:sz w:val="28"/>
          <w:szCs w:val="28"/>
        </w:rPr>
      </w:pPr>
      <w:r w:rsidRPr="00200825">
        <w:rPr>
          <w:rFonts w:asciiTheme="majorHAnsi" w:hAnsiTheme="majorHAnsi"/>
          <w:b/>
          <w:i/>
          <w:sz w:val="28"/>
          <w:szCs w:val="28"/>
        </w:rPr>
        <w:t>Примітка:</w:t>
      </w:r>
      <w:r w:rsidRPr="00200825">
        <w:rPr>
          <w:rFonts w:asciiTheme="majorHAnsi" w:hAnsiTheme="majorHAnsi"/>
          <w:i/>
          <w:sz w:val="28"/>
          <w:szCs w:val="28"/>
        </w:rPr>
        <w:t xml:space="preserve"> Для отримання додаткової інформації щодо округлення див. GUM та ISO 80000-1:2009 [6].</w:t>
      </w:r>
    </w:p>
    <w:p w14:paraId="39D3A333" w14:textId="77777777" w:rsidR="00C93C76" w:rsidRPr="00200825" w:rsidRDefault="00C93C76" w:rsidP="00C93C76">
      <w:pPr>
        <w:pStyle w:val="a3"/>
        <w:spacing w:after="0"/>
        <w:ind w:left="1130"/>
        <w:jc w:val="both"/>
        <w:rPr>
          <w:rFonts w:asciiTheme="majorHAnsi" w:hAnsiTheme="majorHAnsi"/>
          <w:i/>
          <w:sz w:val="28"/>
          <w:szCs w:val="28"/>
        </w:rPr>
      </w:pPr>
    </w:p>
    <w:p w14:paraId="0728BD03" w14:textId="77777777" w:rsidR="00C93C76" w:rsidRPr="00200825" w:rsidRDefault="00C21FFB" w:rsidP="00FE33D0">
      <w:pPr>
        <w:pStyle w:val="a3"/>
        <w:numPr>
          <w:ilvl w:val="1"/>
          <w:numId w:val="4"/>
        </w:numPr>
        <w:spacing w:after="0"/>
        <w:jc w:val="both"/>
        <w:rPr>
          <w:rFonts w:asciiTheme="majorHAnsi" w:hAnsiTheme="majorHAnsi"/>
          <w:sz w:val="28"/>
          <w:szCs w:val="28"/>
        </w:rPr>
      </w:pPr>
      <w:r w:rsidRPr="00200825">
        <w:rPr>
          <w:rFonts w:asciiTheme="majorHAnsi" w:hAnsiTheme="majorHAnsi"/>
          <w:sz w:val="28"/>
          <w:szCs w:val="28"/>
        </w:rPr>
        <w:t>В</w:t>
      </w:r>
      <w:r w:rsidR="00F94D9D" w:rsidRPr="00200825">
        <w:rPr>
          <w:rFonts w:asciiTheme="majorHAnsi" w:hAnsiTheme="majorHAnsi"/>
          <w:sz w:val="28"/>
          <w:szCs w:val="28"/>
        </w:rPr>
        <w:t>пливи</w:t>
      </w:r>
      <w:r w:rsidRPr="00200825">
        <w:rPr>
          <w:rFonts w:asciiTheme="majorHAnsi" w:hAnsiTheme="majorHAnsi"/>
          <w:sz w:val="28"/>
          <w:szCs w:val="28"/>
        </w:rPr>
        <w:t xml:space="preserve"> </w:t>
      </w:r>
      <w:r w:rsidR="00FF312B">
        <w:rPr>
          <w:rFonts w:asciiTheme="majorHAnsi" w:hAnsiTheme="majorHAnsi"/>
          <w:sz w:val="28"/>
          <w:szCs w:val="28"/>
        </w:rPr>
        <w:t>непевності</w:t>
      </w:r>
      <w:r w:rsidRPr="00200825">
        <w:rPr>
          <w:rFonts w:asciiTheme="majorHAnsi" w:hAnsiTheme="majorHAnsi"/>
          <w:sz w:val="28"/>
          <w:szCs w:val="28"/>
        </w:rPr>
        <w:t xml:space="preserve">, зазначені в сертифікаті калібрування, повинні включати відповідні короткочасні </w:t>
      </w:r>
      <w:r w:rsidR="00F94D9D" w:rsidRPr="00200825">
        <w:rPr>
          <w:rFonts w:asciiTheme="majorHAnsi" w:hAnsiTheme="majorHAnsi"/>
          <w:sz w:val="28"/>
          <w:szCs w:val="28"/>
        </w:rPr>
        <w:t>впливи</w:t>
      </w:r>
      <w:r w:rsidRPr="00200825">
        <w:rPr>
          <w:rFonts w:asciiTheme="majorHAnsi" w:hAnsiTheme="majorHAnsi"/>
          <w:sz w:val="28"/>
          <w:szCs w:val="28"/>
        </w:rPr>
        <w:t xml:space="preserve"> під час калібрування та </w:t>
      </w:r>
      <w:r w:rsidR="00F94D9D" w:rsidRPr="00200825">
        <w:rPr>
          <w:rFonts w:asciiTheme="majorHAnsi" w:hAnsiTheme="majorHAnsi"/>
          <w:sz w:val="28"/>
          <w:szCs w:val="28"/>
        </w:rPr>
        <w:t>впливи</w:t>
      </w:r>
      <w:r w:rsidRPr="00200825">
        <w:rPr>
          <w:rFonts w:asciiTheme="majorHAnsi" w:hAnsiTheme="majorHAnsi"/>
          <w:sz w:val="28"/>
          <w:szCs w:val="28"/>
        </w:rPr>
        <w:t xml:space="preserve">, які можна обґрунтовано віднести до пристрою </w:t>
      </w:r>
      <w:r w:rsidR="00053450" w:rsidRPr="00200825">
        <w:rPr>
          <w:rFonts w:asciiTheme="majorHAnsi" w:hAnsiTheme="majorHAnsi"/>
          <w:sz w:val="28"/>
          <w:szCs w:val="28"/>
        </w:rPr>
        <w:t>замовника</w:t>
      </w:r>
      <w:r w:rsidRPr="00200825">
        <w:rPr>
          <w:rFonts w:asciiTheme="majorHAnsi" w:hAnsiTheme="majorHAnsi"/>
          <w:sz w:val="28"/>
          <w:szCs w:val="28"/>
        </w:rPr>
        <w:t>.</w:t>
      </w:r>
      <w:r w:rsidR="003649E2" w:rsidRPr="00200825">
        <w:rPr>
          <w:rFonts w:asciiTheme="majorHAnsi" w:hAnsiTheme="majorHAnsi"/>
          <w:sz w:val="28"/>
          <w:szCs w:val="28"/>
        </w:rPr>
        <w:t xml:space="preserve"> </w:t>
      </w:r>
      <w:r w:rsidR="00053450" w:rsidRPr="00200825">
        <w:rPr>
          <w:rFonts w:asciiTheme="majorHAnsi" w:hAnsiTheme="majorHAnsi"/>
          <w:sz w:val="28"/>
          <w:szCs w:val="28"/>
        </w:rPr>
        <w:t xml:space="preserve">У відповідних випадках </w:t>
      </w:r>
      <w:r w:rsidR="0070685E">
        <w:rPr>
          <w:rFonts w:asciiTheme="majorHAnsi" w:hAnsiTheme="majorHAnsi"/>
          <w:sz w:val="28"/>
          <w:szCs w:val="28"/>
        </w:rPr>
        <w:t>непевність</w:t>
      </w:r>
      <w:r w:rsidR="00053450" w:rsidRPr="00200825">
        <w:rPr>
          <w:rFonts w:asciiTheme="majorHAnsi" w:hAnsiTheme="majorHAnsi"/>
          <w:sz w:val="28"/>
          <w:szCs w:val="28"/>
        </w:rPr>
        <w:t xml:space="preserve"> повинна охоплювати ті ж самі впливи </w:t>
      </w:r>
      <w:r w:rsidR="00FF312B">
        <w:rPr>
          <w:rFonts w:asciiTheme="majorHAnsi" w:hAnsiTheme="majorHAnsi"/>
          <w:sz w:val="28"/>
          <w:szCs w:val="28"/>
        </w:rPr>
        <w:t>непевності</w:t>
      </w:r>
      <w:r w:rsidR="00053450" w:rsidRPr="00200825">
        <w:rPr>
          <w:rFonts w:asciiTheme="majorHAnsi" w:hAnsiTheme="majorHAnsi"/>
          <w:sz w:val="28"/>
          <w:szCs w:val="28"/>
        </w:rPr>
        <w:t xml:space="preserve">, які були включені в оцінку компонента </w:t>
      </w:r>
      <w:r w:rsidR="00FF312B">
        <w:rPr>
          <w:rFonts w:asciiTheme="majorHAnsi" w:hAnsiTheme="majorHAnsi"/>
          <w:sz w:val="28"/>
          <w:szCs w:val="28"/>
        </w:rPr>
        <w:t>непевності</w:t>
      </w:r>
      <w:r w:rsidR="00053450" w:rsidRPr="00200825">
        <w:rPr>
          <w:rFonts w:asciiTheme="majorHAnsi" w:hAnsiTheme="majorHAnsi"/>
          <w:sz w:val="28"/>
          <w:szCs w:val="28"/>
        </w:rPr>
        <w:t xml:space="preserve"> CMC, за винятком того, що компоненти </w:t>
      </w:r>
      <w:r w:rsidR="00FF312B">
        <w:rPr>
          <w:rFonts w:asciiTheme="majorHAnsi" w:hAnsiTheme="majorHAnsi"/>
          <w:sz w:val="28"/>
          <w:szCs w:val="28"/>
        </w:rPr>
        <w:t>непевності</w:t>
      </w:r>
      <w:r w:rsidR="00053450" w:rsidRPr="00200825">
        <w:rPr>
          <w:rFonts w:asciiTheme="majorHAnsi" w:hAnsiTheme="majorHAnsi"/>
          <w:sz w:val="28"/>
          <w:szCs w:val="28"/>
        </w:rPr>
        <w:t xml:space="preserve">, оцінені для найкращого існуючого на сьогодні пристрою, повинні бути замінені компонентами пристрою замовника. </w:t>
      </w:r>
      <w:r w:rsidR="004D36E7" w:rsidRPr="00200825">
        <w:rPr>
          <w:rFonts w:asciiTheme="majorHAnsi" w:hAnsiTheme="majorHAnsi"/>
          <w:sz w:val="28"/>
          <w:szCs w:val="28"/>
        </w:rPr>
        <w:t>Отже</w:t>
      </w:r>
      <w:r w:rsidR="00053450" w:rsidRPr="00200825">
        <w:rPr>
          <w:rFonts w:asciiTheme="majorHAnsi" w:hAnsiTheme="majorHAnsi"/>
          <w:sz w:val="28"/>
          <w:szCs w:val="28"/>
        </w:rPr>
        <w:t xml:space="preserve">, </w:t>
      </w:r>
      <w:r w:rsidR="004D36E7" w:rsidRPr="00200825">
        <w:rPr>
          <w:rFonts w:asciiTheme="majorHAnsi" w:hAnsiTheme="majorHAnsi"/>
          <w:sz w:val="28"/>
          <w:szCs w:val="28"/>
        </w:rPr>
        <w:t>виявлені</w:t>
      </w:r>
      <w:r w:rsidR="00053450" w:rsidRPr="00200825">
        <w:rPr>
          <w:rFonts w:asciiTheme="majorHAnsi" w:hAnsiTheme="majorHAnsi"/>
          <w:sz w:val="28"/>
          <w:szCs w:val="28"/>
        </w:rPr>
        <w:t xml:space="preserve"> </w:t>
      </w:r>
      <w:r w:rsidR="00FF312B">
        <w:rPr>
          <w:rFonts w:asciiTheme="majorHAnsi" w:hAnsiTheme="majorHAnsi"/>
          <w:sz w:val="28"/>
          <w:szCs w:val="28"/>
        </w:rPr>
        <w:t>непевності</w:t>
      </w:r>
      <w:r w:rsidR="00053450" w:rsidRPr="00200825">
        <w:rPr>
          <w:rFonts w:asciiTheme="majorHAnsi" w:hAnsiTheme="majorHAnsi"/>
          <w:sz w:val="28"/>
          <w:szCs w:val="28"/>
        </w:rPr>
        <w:t xml:space="preserve"> мають тенденцію бути більшими, ніж </w:t>
      </w:r>
      <w:r w:rsidR="00FF312B">
        <w:rPr>
          <w:rFonts w:asciiTheme="majorHAnsi" w:hAnsiTheme="majorHAnsi"/>
          <w:sz w:val="28"/>
          <w:szCs w:val="28"/>
        </w:rPr>
        <w:t>непевності</w:t>
      </w:r>
      <w:r w:rsidR="00053450" w:rsidRPr="00200825">
        <w:rPr>
          <w:rFonts w:asciiTheme="majorHAnsi" w:hAnsiTheme="majorHAnsi"/>
          <w:sz w:val="28"/>
          <w:szCs w:val="28"/>
        </w:rPr>
        <w:t>, охоплені CMC.</w:t>
      </w:r>
      <w:r w:rsidR="004D36E7" w:rsidRPr="00200825">
        <w:rPr>
          <w:rFonts w:asciiTheme="majorHAnsi" w:hAnsiTheme="majorHAnsi"/>
          <w:sz w:val="28"/>
          <w:szCs w:val="28"/>
        </w:rPr>
        <w:t xml:space="preserve"> Впливи, які не можуть бути відомі лабораторії, такі як транспортні </w:t>
      </w:r>
      <w:r w:rsidR="00FF312B">
        <w:rPr>
          <w:rFonts w:asciiTheme="majorHAnsi" w:hAnsiTheme="majorHAnsi"/>
          <w:sz w:val="28"/>
          <w:szCs w:val="28"/>
        </w:rPr>
        <w:t>непевності</w:t>
      </w:r>
      <w:r w:rsidR="004D36E7" w:rsidRPr="00200825">
        <w:rPr>
          <w:rFonts w:asciiTheme="majorHAnsi" w:hAnsiTheme="majorHAnsi"/>
          <w:sz w:val="28"/>
          <w:szCs w:val="28"/>
        </w:rPr>
        <w:t xml:space="preserve">, зазвичай повинні бути виключені у </w:t>
      </w:r>
      <w:r w:rsidR="00973EE7" w:rsidRPr="00200825">
        <w:rPr>
          <w:rFonts w:asciiTheme="majorHAnsi" w:hAnsiTheme="majorHAnsi"/>
          <w:sz w:val="28"/>
          <w:szCs w:val="28"/>
        </w:rPr>
        <w:t>заяві</w:t>
      </w:r>
      <w:r w:rsidR="004D36E7" w:rsidRPr="00200825">
        <w:rPr>
          <w:rFonts w:asciiTheme="majorHAnsi" w:hAnsiTheme="majorHAnsi"/>
          <w:sz w:val="28"/>
          <w:szCs w:val="28"/>
        </w:rPr>
        <w:t xml:space="preserve"> про </w:t>
      </w:r>
      <w:r w:rsidR="0070685E">
        <w:rPr>
          <w:rFonts w:asciiTheme="majorHAnsi" w:hAnsiTheme="majorHAnsi"/>
          <w:sz w:val="28"/>
          <w:szCs w:val="28"/>
        </w:rPr>
        <w:t>непевність</w:t>
      </w:r>
      <w:r w:rsidR="004D36E7" w:rsidRPr="00200825">
        <w:rPr>
          <w:rFonts w:asciiTheme="majorHAnsi" w:hAnsiTheme="majorHAnsi"/>
          <w:sz w:val="28"/>
          <w:szCs w:val="28"/>
        </w:rPr>
        <w:t xml:space="preserve">. Проте, якщо лабораторія передбачає, що такі впливи матимуть значний вплив на </w:t>
      </w:r>
      <w:r w:rsidR="0070685E">
        <w:rPr>
          <w:rFonts w:asciiTheme="majorHAnsi" w:hAnsiTheme="majorHAnsi"/>
          <w:sz w:val="28"/>
          <w:szCs w:val="28"/>
        </w:rPr>
        <w:t>непевність</w:t>
      </w:r>
      <w:r w:rsidR="004D36E7" w:rsidRPr="00200825">
        <w:rPr>
          <w:rFonts w:asciiTheme="majorHAnsi" w:hAnsiTheme="majorHAnsi"/>
          <w:sz w:val="28"/>
          <w:szCs w:val="28"/>
        </w:rPr>
        <w:t xml:space="preserve">, визначені лабораторією, замовника </w:t>
      </w:r>
      <w:r w:rsidR="003B51E3" w:rsidRPr="00200825">
        <w:rPr>
          <w:rFonts w:asciiTheme="majorHAnsi" w:hAnsiTheme="majorHAnsi"/>
          <w:sz w:val="28"/>
          <w:szCs w:val="28"/>
        </w:rPr>
        <w:t>необхідно</w:t>
      </w:r>
      <w:r w:rsidR="004D36E7" w:rsidRPr="00200825">
        <w:rPr>
          <w:rFonts w:asciiTheme="majorHAnsi" w:hAnsiTheme="majorHAnsi"/>
          <w:sz w:val="28"/>
          <w:szCs w:val="28"/>
        </w:rPr>
        <w:t xml:space="preserve"> повідомити згідно із загальними положеннями щодо тендерів та перегляду контрактів у ISO/IEC 17025.</w:t>
      </w:r>
    </w:p>
    <w:p w14:paraId="40E7DBA1" w14:textId="77777777" w:rsidR="00FE33D0" w:rsidRPr="00200825" w:rsidRDefault="00FE33D0" w:rsidP="00FE33D0">
      <w:pPr>
        <w:spacing w:after="0"/>
        <w:jc w:val="both"/>
        <w:rPr>
          <w:rFonts w:asciiTheme="majorHAnsi" w:hAnsiTheme="majorHAnsi"/>
          <w:sz w:val="28"/>
          <w:szCs w:val="28"/>
        </w:rPr>
      </w:pPr>
    </w:p>
    <w:p w14:paraId="19E18A87" w14:textId="77777777" w:rsidR="00E66CE2" w:rsidRPr="00200825" w:rsidRDefault="00FE33D0" w:rsidP="00E66CE2">
      <w:pPr>
        <w:pStyle w:val="a3"/>
        <w:numPr>
          <w:ilvl w:val="1"/>
          <w:numId w:val="4"/>
        </w:numPr>
        <w:spacing w:after="0"/>
        <w:jc w:val="both"/>
        <w:rPr>
          <w:rFonts w:asciiTheme="majorHAnsi" w:hAnsiTheme="majorHAnsi"/>
          <w:sz w:val="28"/>
          <w:szCs w:val="28"/>
        </w:rPr>
      </w:pPr>
      <w:r w:rsidRPr="00200825">
        <w:rPr>
          <w:rFonts w:asciiTheme="majorHAnsi" w:hAnsiTheme="majorHAnsi"/>
          <w:sz w:val="28"/>
          <w:szCs w:val="28"/>
        </w:rPr>
        <w:t xml:space="preserve"> Як випливає з визначення CMC, акредитовані калібрувальні лабораторії не повинні звітувати про меншу </w:t>
      </w:r>
      <w:r w:rsidR="0070685E">
        <w:rPr>
          <w:rFonts w:asciiTheme="majorHAnsi" w:hAnsiTheme="majorHAnsi"/>
          <w:sz w:val="28"/>
          <w:szCs w:val="28"/>
        </w:rPr>
        <w:t>непевність</w:t>
      </w:r>
      <w:r w:rsidRPr="00200825">
        <w:rPr>
          <w:rFonts w:asciiTheme="majorHAnsi" w:hAnsiTheme="majorHAnsi"/>
          <w:sz w:val="28"/>
          <w:szCs w:val="28"/>
        </w:rPr>
        <w:t xml:space="preserve"> вимірювання, ніж </w:t>
      </w:r>
      <w:r w:rsidR="0070685E">
        <w:rPr>
          <w:rFonts w:asciiTheme="majorHAnsi" w:hAnsiTheme="majorHAnsi"/>
          <w:sz w:val="28"/>
          <w:szCs w:val="28"/>
        </w:rPr>
        <w:t>непевність</w:t>
      </w:r>
      <w:r w:rsidRPr="00200825">
        <w:rPr>
          <w:rFonts w:asciiTheme="majorHAnsi" w:hAnsiTheme="majorHAnsi"/>
          <w:sz w:val="28"/>
          <w:szCs w:val="28"/>
        </w:rPr>
        <w:t>, яка описана CMC, для якої лабораторія акредитована.</w:t>
      </w:r>
    </w:p>
    <w:p w14:paraId="7C8C2B1D" w14:textId="77777777" w:rsidR="00E66CE2" w:rsidRPr="00200825" w:rsidRDefault="00E66CE2" w:rsidP="00E66CE2">
      <w:pPr>
        <w:pStyle w:val="a3"/>
        <w:rPr>
          <w:rFonts w:asciiTheme="majorHAnsi" w:hAnsiTheme="majorHAnsi"/>
          <w:sz w:val="28"/>
          <w:szCs w:val="28"/>
        </w:rPr>
      </w:pPr>
    </w:p>
    <w:p w14:paraId="285F0214" w14:textId="77777777" w:rsidR="00E66CE2" w:rsidRPr="00200825" w:rsidRDefault="00E66CE2" w:rsidP="00E66CE2">
      <w:pPr>
        <w:pStyle w:val="a3"/>
        <w:numPr>
          <w:ilvl w:val="1"/>
          <w:numId w:val="4"/>
        </w:numPr>
        <w:spacing w:after="0"/>
        <w:jc w:val="both"/>
        <w:rPr>
          <w:rFonts w:asciiTheme="majorHAnsi" w:hAnsiTheme="majorHAnsi"/>
          <w:sz w:val="28"/>
          <w:szCs w:val="28"/>
        </w:rPr>
      </w:pPr>
      <w:r w:rsidRPr="00200825">
        <w:rPr>
          <w:rFonts w:asciiTheme="majorHAnsi" w:hAnsiTheme="majorHAnsi"/>
          <w:sz w:val="28"/>
          <w:szCs w:val="28"/>
        </w:rPr>
        <w:t xml:space="preserve">Відповідно до вимог ISO/IEC 17025, акредитовані калібрувальні лабораторії повинні надавати </w:t>
      </w:r>
      <w:r w:rsidR="0070685E">
        <w:rPr>
          <w:rFonts w:asciiTheme="majorHAnsi" w:hAnsiTheme="majorHAnsi"/>
          <w:sz w:val="28"/>
          <w:szCs w:val="28"/>
        </w:rPr>
        <w:t>непевність</w:t>
      </w:r>
      <w:r w:rsidRPr="00200825">
        <w:rPr>
          <w:rFonts w:asciiTheme="majorHAnsi" w:hAnsiTheme="majorHAnsi"/>
          <w:sz w:val="28"/>
          <w:szCs w:val="28"/>
        </w:rPr>
        <w:t xml:space="preserve"> вимірювання в тих самих одиницях, що й вимірювана величина, або відносно вимірюваної величини (наприклад, у відсотках).</w:t>
      </w:r>
    </w:p>
    <w:p w14:paraId="5FDF8D8F" w14:textId="77777777" w:rsidR="00971C59" w:rsidRPr="00200825" w:rsidRDefault="00971C59" w:rsidP="00971C59">
      <w:pPr>
        <w:spacing w:after="0"/>
        <w:jc w:val="both"/>
        <w:rPr>
          <w:rFonts w:asciiTheme="majorHAnsi" w:hAnsiTheme="majorHAnsi"/>
          <w:b/>
          <w:sz w:val="28"/>
          <w:szCs w:val="28"/>
        </w:rPr>
      </w:pPr>
    </w:p>
    <w:p w14:paraId="1E468E0E" w14:textId="77777777" w:rsidR="00D523DC" w:rsidRPr="00200825" w:rsidRDefault="00CB5304" w:rsidP="00971C59">
      <w:pPr>
        <w:pStyle w:val="a3"/>
        <w:numPr>
          <w:ilvl w:val="0"/>
          <w:numId w:val="4"/>
        </w:numPr>
        <w:spacing w:after="0"/>
        <w:jc w:val="both"/>
        <w:rPr>
          <w:rFonts w:asciiTheme="majorHAnsi" w:hAnsiTheme="majorHAnsi"/>
          <w:b/>
          <w:sz w:val="28"/>
          <w:szCs w:val="28"/>
        </w:rPr>
      </w:pPr>
      <w:r w:rsidRPr="00200825">
        <w:rPr>
          <w:rFonts w:asciiTheme="majorHAnsi" w:hAnsiTheme="majorHAnsi"/>
          <w:b/>
          <w:sz w:val="28"/>
          <w:szCs w:val="28"/>
        </w:rPr>
        <w:t>Посилання</w:t>
      </w:r>
    </w:p>
    <w:p w14:paraId="13C4602B" w14:textId="77777777" w:rsidR="00D523DC" w:rsidRPr="00200825" w:rsidRDefault="00D523DC" w:rsidP="00D523DC">
      <w:pPr>
        <w:spacing w:after="0"/>
        <w:jc w:val="both"/>
        <w:rPr>
          <w:rFonts w:asciiTheme="majorHAnsi" w:hAnsiTheme="majorHAnsi"/>
          <w:sz w:val="28"/>
          <w:szCs w:val="28"/>
        </w:rPr>
      </w:pPr>
    </w:p>
    <w:p w14:paraId="6FAA041F" w14:textId="77777777" w:rsidR="00D523DC" w:rsidRPr="00200825" w:rsidRDefault="00971C59" w:rsidP="00D523DC">
      <w:pPr>
        <w:spacing w:after="0"/>
        <w:jc w:val="both"/>
        <w:rPr>
          <w:rFonts w:asciiTheme="majorHAnsi" w:hAnsiTheme="majorHAnsi"/>
          <w:i/>
          <w:sz w:val="28"/>
          <w:szCs w:val="28"/>
        </w:rPr>
      </w:pPr>
      <w:r w:rsidRPr="00200825">
        <w:rPr>
          <w:vertAlign w:val="superscript"/>
        </w:rPr>
        <w:t>[</w:t>
      </w:r>
      <w:r w:rsidR="00D523DC" w:rsidRPr="00200825">
        <w:rPr>
          <w:rFonts w:asciiTheme="majorHAnsi" w:hAnsiTheme="majorHAnsi"/>
          <w:sz w:val="28"/>
          <w:szCs w:val="28"/>
          <w:vertAlign w:val="superscript"/>
        </w:rPr>
        <w:t>1</w:t>
      </w:r>
      <w:r w:rsidRPr="00200825">
        <w:rPr>
          <w:vertAlign w:val="superscript"/>
        </w:rPr>
        <w:t>]</w:t>
      </w:r>
      <w:r w:rsidR="00D523DC" w:rsidRPr="00200825">
        <w:rPr>
          <w:rFonts w:asciiTheme="majorHAnsi" w:hAnsiTheme="majorHAnsi"/>
          <w:sz w:val="28"/>
          <w:szCs w:val="28"/>
          <w:vertAlign w:val="superscript"/>
        </w:rPr>
        <w:t xml:space="preserve"> </w:t>
      </w:r>
      <w:r w:rsidR="00D523DC" w:rsidRPr="00200825">
        <w:rPr>
          <w:rFonts w:asciiTheme="majorHAnsi" w:hAnsiTheme="majorHAnsi"/>
          <w:sz w:val="28"/>
          <w:szCs w:val="28"/>
        </w:rPr>
        <w:t xml:space="preserve">EA-4/02 M:2013, </w:t>
      </w:r>
      <w:r w:rsidR="00D523DC" w:rsidRPr="00200825">
        <w:rPr>
          <w:rFonts w:asciiTheme="majorHAnsi" w:hAnsiTheme="majorHAnsi"/>
          <w:i/>
          <w:sz w:val="28"/>
          <w:szCs w:val="28"/>
        </w:rPr>
        <w:t xml:space="preserve">Оцінка </w:t>
      </w:r>
      <w:r w:rsidR="0070685E">
        <w:rPr>
          <w:rFonts w:asciiTheme="majorHAnsi" w:hAnsiTheme="majorHAnsi"/>
          <w:i/>
          <w:sz w:val="28"/>
          <w:szCs w:val="28"/>
        </w:rPr>
        <w:t>непевність</w:t>
      </w:r>
      <w:r w:rsidR="00D523DC" w:rsidRPr="00200825">
        <w:rPr>
          <w:rFonts w:asciiTheme="majorHAnsi" w:hAnsiTheme="majorHAnsi"/>
          <w:i/>
          <w:sz w:val="28"/>
          <w:szCs w:val="28"/>
        </w:rPr>
        <w:t xml:space="preserve"> вимірювання при калібруванні</w:t>
      </w:r>
    </w:p>
    <w:p w14:paraId="686D036F" w14:textId="77777777" w:rsidR="00973EE7" w:rsidRPr="00200825" w:rsidRDefault="00973EE7" w:rsidP="00D523DC">
      <w:pPr>
        <w:spacing w:after="0"/>
        <w:jc w:val="both"/>
        <w:rPr>
          <w:rFonts w:asciiTheme="majorHAnsi" w:hAnsiTheme="majorHAnsi"/>
          <w:i/>
          <w:sz w:val="28"/>
          <w:szCs w:val="28"/>
        </w:rPr>
      </w:pPr>
    </w:p>
    <w:p w14:paraId="3929A200" w14:textId="77777777" w:rsidR="00971C59" w:rsidRPr="00200825" w:rsidRDefault="00971C59" w:rsidP="00971C59">
      <w:pPr>
        <w:spacing w:after="0"/>
        <w:jc w:val="both"/>
        <w:rPr>
          <w:rFonts w:asciiTheme="majorHAnsi" w:hAnsiTheme="majorHAnsi"/>
          <w:sz w:val="28"/>
          <w:szCs w:val="28"/>
          <w:lang w:val="ru-RU"/>
        </w:rPr>
      </w:pPr>
      <w:r w:rsidRPr="00200825">
        <w:rPr>
          <w:vertAlign w:val="superscript"/>
        </w:rPr>
        <w:t>[</w:t>
      </w:r>
      <w:r w:rsidRPr="00200825">
        <w:rPr>
          <w:rFonts w:asciiTheme="majorHAnsi" w:hAnsiTheme="majorHAnsi"/>
          <w:sz w:val="28"/>
          <w:szCs w:val="28"/>
          <w:vertAlign w:val="superscript"/>
        </w:rPr>
        <w:t>2</w:t>
      </w:r>
      <w:r w:rsidRPr="00200825">
        <w:rPr>
          <w:vertAlign w:val="superscript"/>
        </w:rPr>
        <w:t>]</w:t>
      </w:r>
      <w:r w:rsidRPr="00200825">
        <w:rPr>
          <w:vertAlign w:val="superscript"/>
          <w:lang w:val="ru-RU"/>
        </w:rPr>
        <w:t xml:space="preserve"> </w:t>
      </w:r>
      <w:r w:rsidRPr="00200825">
        <w:rPr>
          <w:rFonts w:asciiTheme="majorHAnsi" w:hAnsiTheme="majorHAnsi"/>
          <w:sz w:val="28"/>
          <w:szCs w:val="28"/>
          <w:lang w:val="ru-RU"/>
        </w:rPr>
        <w:t xml:space="preserve">Директиви </w:t>
      </w:r>
      <w:r w:rsidRPr="00200825">
        <w:rPr>
          <w:rFonts w:asciiTheme="majorHAnsi" w:hAnsiTheme="majorHAnsi"/>
          <w:sz w:val="28"/>
          <w:szCs w:val="28"/>
          <w:lang w:val="en-US"/>
        </w:rPr>
        <w:t>ISO</w:t>
      </w:r>
      <w:r w:rsidRPr="00200825">
        <w:rPr>
          <w:rFonts w:asciiTheme="majorHAnsi" w:hAnsiTheme="majorHAnsi"/>
          <w:sz w:val="28"/>
          <w:szCs w:val="28"/>
          <w:lang w:val="ru-RU"/>
        </w:rPr>
        <w:t>/</w:t>
      </w:r>
      <w:r w:rsidRPr="00200825">
        <w:rPr>
          <w:rFonts w:asciiTheme="majorHAnsi" w:hAnsiTheme="majorHAnsi"/>
          <w:sz w:val="28"/>
          <w:szCs w:val="28"/>
          <w:lang w:val="en-US"/>
        </w:rPr>
        <w:t>IEC</w:t>
      </w:r>
      <w:r w:rsidRPr="00200825">
        <w:rPr>
          <w:rFonts w:asciiTheme="majorHAnsi" w:hAnsiTheme="majorHAnsi"/>
          <w:sz w:val="28"/>
          <w:szCs w:val="28"/>
          <w:lang w:val="ru-RU"/>
        </w:rPr>
        <w:t>, Частина 2, Принципи структури та проєкти документів, які мають стати міжнародними стандартами, технічними специфікаціями або загальнодоступними специфікаціями, восьме видання 2018 р.</w:t>
      </w:r>
    </w:p>
    <w:p w14:paraId="0D38AA54" w14:textId="77777777" w:rsidR="008C5BC7" w:rsidRPr="00200825" w:rsidRDefault="008C5BC7" w:rsidP="00971C59">
      <w:pPr>
        <w:spacing w:after="0"/>
        <w:jc w:val="both"/>
        <w:rPr>
          <w:rFonts w:asciiTheme="majorHAnsi" w:hAnsiTheme="majorHAnsi"/>
          <w:sz w:val="28"/>
          <w:szCs w:val="28"/>
          <w:lang w:val="ru-RU"/>
        </w:rPr>
      </w:pPr>
    </w:p>
    <w:p w14:paraId="51EB0133" w14:textId="77777777" w:rsidR="00971C59" w:rsidRPr="00200825" w:rsidRDefault="00971C59" w:rsidP="00971C59">
      <w:pPr>
        <w:spacing w:after="0"/>
        <w:jc w:val="both"/>
        <w:rPr>
          <w:rFonts w:asciiTheme="majorHAnsi" w:hAnsiTheme="majorHAnsi"/>
          <w:i/>
          <w:sz w:val="28"/>
          <w:szCs w:val="28"/>
        </w:rPr>
      </w:pPr>
      <w:r w:rsidRPr="00200825">
        <w:rPr>
          <w:vertAlign w:val="superscript"/>
        </w:rPr>
        <w:t>[</w:t>
      </w:r>
      <w:r w:rsidRPr="00200825">
        <w:rPr>
          <w:rFonts w:asciiTheme="majorHAnsi" w:hAnsiTheme="majorHAnsi"/>
          <w:sz w:val="28"/>
          <w:szCs w:val="28"/>
          <w:vertAlign w:val="superscript"/>
        </w:rPr>
        <w:t>3</w:t>
      </w:r>
      <w:r w:rsidRPr="00200825">
        <w:rPr>
          <w:vertAlign w:val="superscript"/>
        </w:rPr>
        <w:t>]</w:t>
      </w:r>
      <w:r w:rsidR="008C5BC7" w:rsidRPr="00200825">
        <w:rPr>
          <w:rFonts w:asciiTheme="majorHAnsi" w:hAnsiTheme="majorHAnsi"/>
          <w:sz w:val="28"/>
          <w:szCs w:val="28"/>
        </w:rPr>
        <w:t xml:space="preserve">ISO/IEC 17025:2017 </w:t>
      </w:r>
      <w:r w:rsidR="008C5BC7" w:rsidRPr="00200825">
        <w:rPr>
          <w:rFonts w:asciiTheme="majorHAnsi" w:hAnsiTheme="majorHAnsi"/>
          <w:i/>
          <w:sz w:val="28"/>
          <w:szCs w:val="28"/>
        </w:rPr>
        <w:t>Загальні вимоги до компетентності випробувальних і калібрувальних лабораторій</w:t>
      </w:r>
    </w:p>
    <w:p w14:paraId="3F99F392" w14:textId="77777777" w:rsidR="008C5BC7" w:rsidRPr="00200825" w:rsidRDefault="008C5BC7" w:rsidP="00971C59">
      <w:pPr>
        <w:spacing w:after="0"/>
        <w:jc w:val="both"/>
        <w:rPr>
          <w:rFonts w:asciiTheme="majorHAnsi" w:hAnsiTheme="majorHAnsi"/>
        </w:rPr>
      </w:pPr>
    </w:p>
    <w:p w14:paraId="1021ED0D" w14:textId="77777777" w:rsidR="00971C59" w:rsidRPr="00200825" w:rsidRDefault="00971C59" w:rsidP="00971C59">
      <w:pPr>
        <w:spacing w:after="0"/>
        <w:jc w:val="both"/>
        <w:rPr>
          <w:rFonts w:asciiTheme="majorHAnsi" w:hAnsiTheme="majorHAnsi"/>
          <w:i/>
          <w:sz w:val="28"/>
          <w:szCs w:val="28"/>
        </w:rPr>
      </w:pPr>
      <w:r w:rsidRPr="00200825">
        <w:rPr>
          <w:vertAlign w:val="superscript"/>
        </w:rPr>
        <w:t>[</w:t>
      </w:r>
      <w:r w:rsidRPr="00200825">
        <w:rPr>
          <w:rFonts w:asciiTheme="majorHAnsi" w:hAnsiTheme="majorHAnsi"/>
          <w:sz w:val="28"/>
          <w:szCs w:val="28"/>
          <w:vertAlign w:val="superscript"/>
        </w:rPr>
        <w:t>4</w:t>
      </w:r>
      <w:r w:rsidRPr="00200825">
        <w:rPr>
          <w:vertAlign w:val="superscript"/>
        </w:rPr>
        <w:t>]</w:t>
      </w:r>
      <w:r w:rsidR="008C5BC7" w:rsidRPr="00200825">
        <w:rPr>
          <w:vertAlign w:val="superscript"/>
        </w:rPr>
        <w:t xml:space="preserve"> </w:t>
      </w:r>
      <w:r w:rsidR="008C5BC7" w:rsidRPr="00200825">
        <w:rPr>
          <w:rFonts w:asciiTheme="majorHAnsi" w:hAnsiTheme="majorHAnsi"/>
          <w:sz w:val="28"/>
          <w:szCs w:val="28"/>
        </w:rPr>
        <w:t xml:space="preserve">ISO 15195:2018 </w:t>
      </w:r>
      <w:r w:rsidR="00BA2C0E" w:rsidRPr="00200825">
        <w:rPr>
          <w:rFonts w:asciiTheme="majorHAnsi" w:hAnsiTheme="majorHAnsi"/>
          <w:i/>
          <w:sz w:val="28"/>
          <w:szCs w:val="28"/>
        </w:rPr>
        <w:t xml:space="preserve">Лабораторна медицина </w:t>
      </w:r>
      <w:r w:rsidR="008C5BC7" w:rsidRPr="00200825">
        <w:rPr>
          <w:rFonts w:asciiTheme="majorHAnsi" w:hAnsiTheme="majorHAnsi"/>
          <w:i/>
          <w:sz w:val="28"/>
          <w:szCs w:val="28"/>
        </w:rPr>
        <w:t>-</w:t>
      </w:r>
      <w:r w:rsidR="00BA2C0E" w:rsidRPr="00200825">
        <w:rPr>
          <w:rFonts w:asciiTheme="majorHAnsi" w:hAnsiTheme="majorHAnsi"/>
          <w:i/>
          <w:sz w:val="28"/>
          <w:szCs w:val="28"/>
        </w:rPr>
        <w:t xml:space="preserve"> </w:t>
      </w:r>
      <w:r w:rsidR="008C5BC7" w:rsidRPr="00200825">
        <w:rPr>
          <w:rFonts w:asciiTheme="majorHAnsi" w:hAnsiTheme="majorHAnsi"/>
          <w:i/>
          <w:sz w:val="28"/>
          <w:szCs w:val="28"/>
        </w:rPr>
        <w:t xml:space="preserve">Вимоги до компетентності калібрувальних лабораторій, які використовують </w:t>
      </w:r>
      <w:r w:rsidR="00D96C39" w:rsidRPr="00200825">
        <w:rPr>
          <w:rFonts w:asciiTheme="majorHAnsi" w:hAnsiTheme="majorHAnsi"/>
          <w:i/>
          <w:sz w:val="28"/>
          <w:szCs w:val="28"/>
        </w:rPr>
        <w:t xml:space="preserve">референтні </w:t>
      </w:r>
      <w:r w:rsidR="008C5BC7" w:rsidRPr="00200825">
        <w:rPr>
          <w:rFonts w:asciiTheme="majorHAnsi" w:hAnsiTheme="majorHAnsi"/>
          <w:i/>
          <w:sz w:val="28"/>
          <w:szCs w:val="28"/>
        </w:rPr>
        <w:t>процедури вимірювання</w:t>
      </w:r>
    </w:p>
    <w:p w14:paraId="008FCA5E" w14:textId="77777777" w:rsidR="008C5BC7" w:rsidRPr="00200825" w:rsidRDefault="008C5BC7" w:rsidP="00971C59">
      <w:pPr>
        <w:spacing w:after="0"/>
        <w:jc w:val="both"/>
        <w:rPr>
          <w:rFonts w:asciiTheme="majorHAnsi" w:hAnsiTheme="majorHAnsi"/>
          <w:i/>
          <w:sz w:val="28"/>
          <w:szCs w:val="28"/>
          <w:vertAlign w:val="superscript"/>
        </w:rPr>
      </w:pPr>
    </w:p>
    <w:p w14:paraId="275325EE" w14:textId="77777777" w:rsidR="00971C59" w:rsidRPr="00200825" w:rsidRDefault="00971C59" w:rsidP="00971C59">
      <w:pPr>
        <w:spacing w:after="0"/>
        <w:jc w:val="both"/>
        <w:rPr>
          <w:i/>
        </w:rPr>
      </w:pPr>
      <w:r w:rsidRPr="00200825">
        <w:rPr>
          <w:vertAlign w:val="superscript"/>
        </w:rPr>
        <w:t>[</w:t>
      </w:r>
      <w:r w:rsidRPr="00200825">
        <w:rPr>
          <w:rFonts w:asciiTheme="majorHAnsi" w:hAnsiTheme="majorHAnsi"/>
          <w:sz w:val="28"/>
          <w:szCs w:val="28"/>
          <w:vertAlign w:val="superscript"/>
        </w:rPr>
        <w:t>5</w:t>
      </w:r>
      <w:r w:rsidRPr="00200825">
        <w:rPr>
          <w:vertAlign w:val="superscript"/>
        </w:rPr>
        <w:t>]</w:t>
      </w:r>
      <w:r w:rsidR="00D96C39" w:rsidRPr="00200825">
        <w:rPr>
          <w:vertAlign w:val="superscript"/>
        </w:rPr>
        <w:t xml:space="preserve"> </w:t>
      </w:r>
      <w:r w:rsidR="00D96C39" w:rsidRPr="00200825">
        <w:rPr>
          <w:rFonts w:asciiTheme="majorHAnsi" w:hAnsiTheme="majorHAnsi"/>
          <w:sz w:val="28"/>
          <w:szCs w:val="28"/>
        </w:rPr>
        <w:t xml:space="preserve">ISO 17034:2016 </w:t>
      </w:r>
      <w:r w:rsidR="00D96C39" w:rsidRPr="00200825">
        <w:rPr>
          <w:rFonts w:asciiTheme="majorHAnsi" w:hAnsiTheme="majorHAnsi"/>
          <w:i/>
          <w:sz w:val="28"/>
          <w:szCs w:val="28"/>
        </w:rPr>
        <w:t>Загальні вимоги до компетентності виробників референтних матеріалів 2019</w:t>
      </w:r>
    </w:p>
    <w:p w14:paraId="3BE2F4A1" w14:textId="77777777" w:rsidR="008C5BC7" w:rsidRPr="00200825" w:rsidRDefault="008C5BC7" w:rsidP="00971C59">
      <w:pPr>
        <w:spacing w:after="0"/>
        <w:jc w:val="both"/>
        <w:rPr>
          <w:rFonts w:asciiTheme="majorHAnsi" w:hAnsiTheme="majorHAnsi"/>
          <w:sz w:val="28"/>
          <w:szCs w:val="28"/>
        </w:rPr>
      </w:pPr>
    </w:p>
    <w:p w14:paraId="0CCF8950" w14:textId="77777777" w:rsidR="008C5BC7" w:rsidRPr="00200825" w:rsidRDefault="008C5BC7" w:rsidP="008C5BC7">
      <w:pPr>
        <w:spacing w:after="0"/>
        <w:jc w:val="both"/>
      </w:pPr>
      <w:r w:rsidRPr="00200825">
        <w:rPr>
          <w:vertAlign w:val="superscript"/>
        </w:rPr>
        <w:t>[</w:t>
      </w:r>
      <w:r w:rsidRPr="00200825">
        <w:rPr>
          <w:rFonts w:asciiTheme="majorHAnsi" w:hAnsiTheme="majorHAnsi"/>
          <w:sz w:val="28"/>
          <w:szCs w:val="28"/>
          <w:vertAlign w:val="superscript"/>
        </w:rPr>
        <w:t>6</w:t>
      </w:r>
      <w:r w:rsidRPr="00200825">
        <w:rPr>
          <w:vertAlign w:val="superscript"/>
        </w:rPr>
        <w:t>]</w:t>
      </w:r>
      <w:r w:rsidR="00D96C39" w:rsidRPr="00200825">
        <w:rPr>
          <w:vertAlign w:val="superscript"/>
        </w:rPr>
        <w:t xml:space="preserve"> </w:t>
      </w:r>
      <w:r w:rsidR="00D96C39" w:rsidRPr="00200825">
        <w:rPr>
          <w:rFonts w:asciiTheme="majorHAnsi" w:hAnsiTheme="majorHAnsi"/>
          <w:sz w:val="28"/>
          <w:szCs w:val="28"/>
        </w:rPr>
        <w:t>Міжнародна система одиниць (</w:t>
      </w:r>
      <w:r w:rsidR="00D96C39" w:rsidRPr="00200825">
        <w:rPr>
          <w:rFonts w:asciiTheme="majorHAnsi" w:hAnsiTheme="majorHAnsi"/>
          <w:sz w:val="28"/>
          <w:szCs w:val="28"/>
          <w:lang w:val="en-US"/>
        </w:rPr>
        <w:t>S</w:t>
      </w:r>
      <w:r w:rsidR="00D96C39" w:rsidRPr="00200825">
        <w:rPr>
          <w:rFonts w:asciiTheme="majorHAnsi" w:hAnsiTheme="majorHAnsi"/>
          <w:sz w:val="28"/>
          <w:szCs w:val="28"/>
        </w:rPr>
        <w:t>І). Міжнародне бюро мір і ваг. 9-е видання</w:t>
      </w:r>
    </w:p>
    <w:p w14:paraId="10D38281" w14:textId="77777777" w:rsidR="008C5BC7" w:rsidRPr="00200825" w:rsidRDefault="008C5BC7" w:rsidP="008C5BC7">
      <w:pPr>
        <w:spacing w:after="0"/>
        <w:jc w:val="both"/>
        <w:rPr>
          <w:rFonts w:asciiTheme="majorHAnsi" w:hAnsiTheme="majorHAnsi"/>
          <w:sz w:val="28"/>
          <w:szCs w:val="28"/>
        </w:rPr>
      </w:pPr>
    </w:p>
    <w:p w14:paraId="1D424A6F" w14:textId="77777777" w:rsidR="008C5BC7" w:rsidRPr="00200825" w:rsidRDefault="008C5BC7" w:rsidP="008C5BC7">
      <w:pPr>
        <w:spacing w:after="0"/>
        <w:jc w:val="both"/>
        <w:rPr>
          <w:rFonts w:asciiTheme="majorHAnsi" w:hAnsiTheme="majorHAnsi"/>
          <w:i/>
          <w:sz w:val="28"/>
          <w:szCs w:val="28"/>
        </w:rPr>
      </w:pPr>
      <w:r w:rsidRPr="00200825">
        <w:rPr>
          <w:vertAlign w:val="superscript"/>
        </w:rPr>
        <w:t>[</w:t>
      </w:r>
      <w:r w:rsidRPr="00200825">
        <w:rPr>
          <w:rFonts w:asciiTheme="majorHAnsi" w:hAnsiTheme="majorHAnsi"/>
          <w:sz w:val="28"/>
          <w:szCs w:val="28"/>
          <w:vertAlign w:val="superscript"/>
        </w:rPr>
        <w:t>7</w:t>
      </w:r>
      <w:r w:rsidRPr="00200825">
        <w:rPr>
          <w:vertAlign w:val="superscript"/>
        </w:rPr>
        <w:t>]</w:t>
      </w:r>
      <w:r w:rsidR="00D96C39" w:rsidRPr="00200825">
        <w:rPr>
          <w:vertAlign w:val="superscript"/>
        </w:rPr>
        <w:t xml:space="preserve"> </w:t>
      </w:r>
      <w:r w:rsidR="00C5126A" w:rsidRPr="00200825">
        <w:rPr>
          <w:rFonts w:asciiTheme="majorHAnsi" w:hAnsiTheme="majorHAnsi"/>
          <w:sz w:val="28"/>
          <w:szCs w:val="28"/>
        </w:rPr>
        <w:t>ISO 8</w:t>
      </w:r>
      <w:r w:rsidR="000B4960" w:rsidRPr="00200825">
        <w:rPr>
          <w:rFonts w:asciiTheme="majorHAnsi" w:hAnsiTheme="majorHAnsi"/>
          <w:sz w:val="28"/>
          <w:szCs w:val="28"/>
        </w:rPr>
        <w:t xml:space="preserve">0000-1:2009 </w:t>
      </w:r>
      <w:r w:rsidR="000B4960" w:rsidRPr="00200825">
        <w:rPr>
          <w:rFonts w:asciiTheme="majorHAnsi" w:hAnsiTheme="majorHAnsi"/>
          <w:i/>
          <w:sz w:val="28"/>
          <w:szCs w:val="28"/>
        </w:rPr>
        <w:t>Величини та одиниці - Частина 1:</w:t>
      </w:r>
      <w:r w:rsidR="00C5126A" w:rsidRPr="00200825">
        <w:rPr>
          <w:rFonts w:asciiTheme="majorHAnsi" w:hAnsiTheme="majorHAnsi"/>
          <w:i/>
          <w:sz w:val="28"/>
          <w:szCs w:val="28"/>
        </w:rPr>
        <w:t xml:space="preserve"> Загальні положення</w:t>
      </w:r>
    </w:p>
    <w:p w14:paraId="132E4750" w14:textId="77777777" w:rsidR="00E43D21" w:rsidRPr="00200825" w:rsidRDefault="00E43D21" w:rsidP="008C5BC7">
      <w:pPr>
        <w:spacing w:after="0"/>
        <w:jc w:val="both"/>
        <w:rPr>
          <w:rFonts w:asciiTheme="majorHAnsi" w:hAnsiTheme="majorHAnsi"/>
          <w:i/>
          <w:sz w:val="28"/>
          <w:szCs w:val="28"/>
        </w:rPr>
      </w:pPr>
    </w:p>
    <w:p w14:paraId="71728A5F" w14:textId="77777777" w:rsidR="008C5BC7" w:rsidRPr="00B76F2C" w:rsidRDefault="008C5BC7" w:rsidP="008C5BC7">
      <w:pPr>
        <w:spacing w:after="0"/>
        <w:jc w:val="both"/>
        <w:rPr>
          <w:rFonts w:asciiTheme="majorHAnsi" w:hAnsiTheme="majorHAnsi"/>
          <w:i/>
          <w:sz w:val="28"/>
          <w:szCs w:val="28"/>
        </w:rPr>
      </w:pPr>
      <w:r w:rsidRPr="00200825">
        <w:rPr>
          <w:vertAlign w:val="superscript"/>
        </w:rPr>
        <w:t>[</w:t>
      </w:r>
      <w:r w:rsidRPr="00200825">
        <w:rPr>
          <w:rFonts w:asciiTheme="majorHAnsi" w:hAnsiTheme="majorHAnsi"/>
          <w:sz w:val="28"/>
          <w:szCs w:val="28"/>
          <w:vertAlign w:val="superscript"/>
        </w:rPr>
        <w:t>8</w:t>
      </w:r>
      <w:r w:rsidRPr="00200825">
        <w:rPr>
          <w:vertAlign w:val="superscript"/>
        </w:rPr>
        <w:t>]</w:t>
      </w:r>
      <w:r w:rsidR="006E3131" w:rsidRPr="00200825">
        <w:rPr>
          <w:vertAlign w:val="superscript"/>
        </w:rPr>
        <w:t xml:space="preserve"> </w:t>
      </w:r>
      <w:r w:rsidR="006E3131" w:rsidRPr="00200825">
        <w:rPr>
          <w:rFonts w:asciiTheme="majorHAnsi" w:hAnsiTheme="majorHAnsi"/>
          <w:sz w:val="28"/>
          <w:szCs w:val="28"/>
        </w:rPr>
        <w:t xml:space="preserve">JCGM 100:2008, GUM 1995 з незначними виправленнями, </w:t>
      </w:r>
      <w:r w:rsidR="006E3131" w:rsidRPr="00200825">
        <w:rPr>
          <w:rFonts w:asciiTheme="majorHAnsi" w:hAnsiTheme="majorHAnsi"/>
          <w:i/>
          <w:sz w:val="28"/>
          <w:szCs w:val="28"/>
        </w:rPr>
        <w:t xml:space="preserve">Оцінка даних вимірювання – </w:t>
      </w:r>
      <w:r w:rsidR="00BA2C0E" w:rsidRPr="00200825">
        <w:rPr>
          <w:rFonts w:asciiTheme="majorHAnsi" w:hAnsiTheme="majorHAnsi"/>
          <w:i/>
          <w:sz w:val="28"/>
          <w:szCs w:val="28"/>
        </w:rPr>
        <w:t xml:space="preserve">Настанова щодо </w:t>
      </w:r>
      <w:r w:rsidR="002378F8" w:rsidRPr="00200825">
        <w:rPr>
          <w:rFonts w:asciiTheme="majorHAnsi" w:hAnsiTheme="majorHAnsi"/>
          <w:i/>
          <w:sz w:val="28"/>
          <w:szCs w:val="28"/>
        </w:rPr>
        <w:t xml:space="preserve">подання </w:t>
      </w:r>
      <w:r w:rsidR="00B76F2C">
        <w:rPr>
          <w:rFonts w:asciiTheme="majorHAnsi" w:hAnsiTheme="majorHAnsi"/>
          <w:i/>
          <w:sz w:val="28"/>
          <w:szCs w:val="28"/>
        </w:rPr>
        <w:t>непевності</w:t>
      </w:r>
      <w:r w:rsidR="002378F8" w:rsidRPr="00200825">
        <w:rPr>
          <w:rFonts w:asciiTheme="majorHAnsi" w:hAnsiTheme="majorHAnsi"/>
          <w:i/>
          <w:sz w:val="28"/>
          <w:szCs w:val="28"/>
        </w:rPr>
        <w:t xml:space="preserve"> у вимірюванні</w:t>
      </w:r>
      <w:r w:rsidR="006E3131" w:rsidRPr="00200825">
        <w:rPr>
          <w:rFonts w:asciiTheme="majorHAnsi" w:hAnsiTheme="majorHAnsi"/>
          <w:i/>
          <w:sz w:val="28"/>
          <w:szCs w:val="28"/>
        </w:rPr>
        <w:t xml:space="preserve">. Також містить набір </w:t>
      </w:r>
      <w:r w:rsidR="002378F8" w:rsidRPr="00200825">
        <w:rPr>
          <w:rFonts w:asciiTheme="majorHAnsi" w:hAnsiTheme="majorHAnsi"/>
          <w:i/>
          <w:sz w:val="28"/>
          <w:szCs w:val="28"/>
        </w:rPr>
        <w:t>настанов з оцінки даних вимірювання</w:t>
      </w:r>
      <w:r w:rsidR="006E3131" w:rsidRPr="00200825">
        <w:rPr>
          <w:rFonts w:asciiTheme="majorHAnsi" w:hAnsiTheme="majorHAnsi"/>
          <w:i/>
          <w:sz w:val="28"/>
          <w:szCs w:val="28"/>
        </w:rPr>
        <w:t xml:space="preserve"> </w:t>
      </w:r>
      <w:r w:rsidR="006E3131" w:rsidRPr="00200825">
        <w:rPr>
          <w:rFonts w:asciiTheme="majorHAnsi" w:hAnsiTheme="majorHAnsi"/>
          <w:sz w:val="28"/>
          <w:szCs w:val="28"/>
        </w:rPr>
        <w:t>(</w:t>
      </w:r>
      <w:r w:rsidR="00E43D21" w:rsidRPr="00200825">
        <w:rPr>
          <w:rFonts w:asciiTheme="majorHAnsi" w:hAnsiTheme="majorHAnsi"/>
          <w:sz w:val="28"/>
          <w:szCs w:val="28"/>
        </w:rPr>
        <w:t xml:space="preserve">Доступно на </w:t>
      </w:r>
      <w:r w:rsidR="006E3131" w:rsidRPr="00200825">
        <w:rPr>
          <w:rFonts w:asciiTheme="majorHAnsi" w:hAnsiTheme="majorHAnsi"/>
          <w:sz w:val="28"/>
          <w:szCs w:val="28"/>
        </w:rPr>
        <w:t>https://www.bipm.org/en/publications/guides/)</w:t>
      </w:r>
    </w:p>
    <w:p w14:paraId="52335533" w14:textId="77777777" w:rsidR="002378F8" w:rsidRPr="00200825" w:rsidRDefault="002378F8" w:rsidP="008C5BC7">
      <w:pPr>
        <w:spacing w:after="0"/>
        <w:jc w:val="both"/>
      </w:pPr>
    </w:p>
    <w:p w14:paraId="16585494" w14:textId="77777777" w:rsidR="008C5BC7" w:rsidRPr="00200825" w:rsidRDefault="008C5BC7" w:rsidP="008C5BC7">
      <w:pPr>
        <w:spacing w:after="0"/>
        <w:jc w:val="both"/>
        <w:rPr>
          <w:rFonts w:asciiTheme="majorHAnsi" w:hAnsiTheme="majorHAnsi"/>
          <w:sz w:val="28"/>
          <w:szCs w:val="28"/>
        </w:rPr>
      </w:pPr>
      <w:r w:rsidRPr="00200825">
        <w:rPr>
          <w:vertAlign w:val="superscript"/>
        </w:rPr>
        <w:t>[</w:t>
      </w:r>
      <w:r w:rsidRPr="00200825">
        <w:rPr>
          <w:rFonts w:asciiTheme="majorHAnsi" w:hAnsiTheme="majorHAnsi"/>
          <w:sz w:val="28"/>
          <w:szCs w:val="28"/>
          <w:vertAlign w:val="superscript"/>
        </w:rPr>
        <w:t>9</w:t>
      </w:r>
      <w:r w:rsidRPr="00200825">
        <w:rPr>
          <w:vertAlign w:val="superscript"/>
        </w:rPr>
        <w:t>]</w:t>
      </w:r>
      <w:r w:rsidR="002378F8" w:rsidRPr="00200825">
        <w:rPr>
          <w:vertAlign w:val="superscript"/>
        </w:rPr>
        <w:t xml:space="preserve"> </w:t>
      </w:r>
      <w:r w:rsidR="002378F8" w:rsidRPr="00200825">
        <w:t xml:space="preserve"> </w:t>
      </w:r>
      <w:r w:rsidR="002378F8" w:rsidRPr="00200825">
        <w:rPr>
          <w:rFonts w:asciiTheme="majorHAnsi" w:hAnsiTheme="majorHAnsi"/>
          <w:sz w:val="28"/>
          <w:szCs w:val="28"/>
        </w:rPr>
        <w:t xml:space="preserve">JCGM 200:2012 </w:t>
      </w:r>
      <w:r w:rsidR="002378F8" w:rsidRPr="00200825">
        <w:rPr>
          <w:rFonts w:asciiTheme="majorHAnsi" w:hAnsiTheme="majorHAnsi"/>
          <w:i/>
          <w:sz w:val="28"/>
          <w:szCs w:val="28"/>
        </w:rPr>
        <w:t>Міжнародний словник метрології</w:t>
      </w:r>
      <w:r w:rsidR="002378F8" w:rsidRPr="00200825">
        <w:rPr>
          <w:rFonts w:asciiTheme="majorHAnsi" w:hAnsiTheme="majorHAnsi"/>
          <w:sz w:val="28"/>
          <w:szCs w:val="28"/>
        </w:rPr>
        <w:t xml:space="preserve"> </w:t>
      </w:r>
      <w:r w:rsidR="00E43D21" w:rsidRPr="00200825">
        <w:rPr>
          <w:rFonts w:asciiTheme="majorHAnsi" w:hAnsiTheme="majorHAnsi"/>
          <w:i/>
          <w:sz w:val="28"/>
          <w:szCs w:val="28"/>
        </w:rPr>
        <w:t>– Основні й</w:t>
      </w:r>
      <w:r w:rsidR="002378F8" w:rsidRPr="00200825">
        <w:rPr>
          <w:rFonts w:asciiTheme="majorHAnsi" w:hAnsiTheme="majorHAnsi"/>
          <w:i/>
          <w:sz w:val="28"/>
          <w:szCs w:val="28"/>
        </w:rPr>
        <w:t xml:space="preserve"> загальні поняття та пов’язані</w:t>
      </w:r>
      <w:r w:rsidR="00E43D21" w:rsidRPr="00200825">
        <w:rPr>
          <w:rFonts w:asciiTheme="majorHAnsi" w:hAnsiTheme="majorHAnsi"/>
          <w:i/>
          <w:sz w:val="28"/>
          <w:szCs w:val="28"/>
        </w:rPr>
        <w:t xml:space="preserve"> з ними </w:t>
      </w:r>
      <w:r w:rsidR="002378F8" w:rsidRPr="00200825">
        <w:rPr>
          <w:rFonts w:asciiTheme="majorHAnsi" w:hAnsiTheme="majorHAnsi"/>
          <w:i/>
          <w:sz w:val="28"/>
          <w:szCs w:val="28"/>
        </w:rPr>
        <w:t>терміни</w:t>
      </w:r>
      <w:r w:rsidR="002378F8" w:rsidRPr="00200825">
        <w:rPr>
          <w:rFonts w:asciiTheme="majorHAnsi" w:hAnsiTheme="majorHAnsi"/>
          <w:sz w:val="28"/>
          <w:szCs w:val="28"/>
        </w:rPr>
        <w:t xml:space="preserve"> (Доступно на www.BIPM.org)</w:t>
      </w:r>
    </w:p>
    <w:p w14:paraId="55B17D71" w14:textId="77777777" w:rsidR="008C5BC7" w:rsidRPr="00200825" w:rsidRDefault="008C5BC7" w:rsidP="008C5BC7">
      <w:pPr>
        <w:spacing w:after="0"/>
        <w:jc w:val="both"/>
        <w:rPr>
          <w:rFonts w:asciiTheme="majorHAnsi" w:hAnsiTheme="majorHAnsi"/>
          <w:sz w:val="28"/>
          <w:szCs w:val="28"/>
        </w:rPr>
      </w:pPr>
    </w:p>
    <w:p w14:paraId="1526436D" w14:textId="77777777" w:rsidR="00E43D21" w:rsidRPr="00200825" w:rsidRDefault="00E43D21" w:rsidP="00E43D21">
      <w:pPr>
        <w:pStyle w:val="a3"/>
        <w:numPr>
          <w:ilvl w:val="0"/>
          <w:numId w:val="4"/>
        </w:numPr>
        <w:spacing w:after="0"/>
        <w:jc w:val="both"/>
        <w:rPr>
          <w:rFonts w:asciiTheme="majorHAnsi" w:hAnsiTheme="majorHAnsi"/>
          <w:b/>
          <w:sz w:val="28"/>
          <w:szCs w:val="28"/>
        </w:rPr>
      </w:pPr>
      <w:r w:rsidRPr="00200825">
        <w:rPr>
          <w:rFonts w:asciiTheme="majorHAnsi" w:hAnsiTheme="majorHAnsi"/>
          <w:b/>
          <w:sz w:val="28"/>
          <w:szCs w:val="28"/>
        </w:rPr>
        <w:t>Приклад керівних документів</w:t>
      </w:r>
    </w:p>
    <w:p w14:paraId="77F56B3C" w14:textId="77777777" w:rsidR="00CD6F31" w:rsidRPr="00200825" w:rsidRDefault="00CD6F31" w:rsidP="00CD6F31">
      <w:pPr>
        <w:pStyle w:val="a3"/>
        <w:spacing w:after="0"/>
        <w:jc w:val="both"/>
        <w:rPr>
          <w:rFonts w:asciiTheme="majorHAnsi" w:hAnsiTheme="majorHAnsi"/>
          <w:b/>
          <w:sz w:val="28"/>
          <w:szCs w:val="28"/>
        </w:rPr>
      </w:pPr>
    </w:p>
    <w:p w14:paraId="1D1FD74F" w14:textId="77777777" w:rsidR="00E43D21" w:rsidRPr="00200825" w:rsidRDefault="00E43D21" w:rsidP="00E43D21">
      <w:pPr>
        <w:pStyle w:val="a3"/>
        <w:numPr>
          <w:ilvl w:val="0"/>
          <w:numId w:val="5"/>
        </w:numPr>
        <w:spacing w:after="0"/>
        <w:jc w:val="both"/>
        <w:rPr>
          <w:rFonts w:asciiTheme="majorHAnsi" w:hAnsiTheme="majorHAnsi"/>
          <w:sz w:val="28"/>
          <w:szCs w:val="28"/>
        </w:rPr>
      </w:pPr>
      <w:r w:rsidRPr="00200825">
        <w:rPr>
          <w:rFonts w:asciiTheme="majorHAnsi" w:hAnsiTheme="majorHAnsi"/>
          <w:sz w:val="28"/>
          <w:szCs w:val="28"/>
        </w:rPr>
        <w:t xml:space="preserve">UKAS M3003, Випуск 4: жовтень 2019 р., доступно на </w:t>
      </w:r>
      <w:hyperlink r:id="rId10" w:history="1">
        <w:r w:rsidRPr="00200825">
          <w:rPr>
            <w:rStyle w:val="a4"/>
            <w:rFonts w:asciiTheme="majorHAnsi" w:hAnsiTheme="majorHAnsi"/>
            <w:sz w:val="28"/>
            <w:szCs w:val="28"/>
          </w:rPr>
          <w:t>www.ukas.com</w:t>
        </w:r>
      </w:hyperlink>
    </w:p>
    <w:p w14:paraId="6993A493" w14:textId="77777777" w:rsidR="00CD6F31" w:rsidRPr="00200825" w:rsidRDefault="00CD6F31" w:rsidP="00CD6F31">
      <w:pPr>
        <w:pStyle w:val="a3"/>
        <w:spacing w:after="0"/>
        <w:ind w:left="1080"/>
        <w:jc w:val="both"/>
        <w:rPr>
          <w:rFonts w:asciiTheme="majorHAnsi" w:hAnsiTheme="majorHAnsi"/>
          <w:sz w:val="28"/>
          <w:szCs w:val="28"/>
        </w:rPr>
      </w:pPr>
    </w:p>
    <w:p w14:paraId="601D820D" w14:textId="77777777" w:rsidR="00E43D21" w:rsidRPr="00200825" w:rsidRDefault="00E43D21" w:rsidP="00E43D21">
      <w:pPr>
        <w:pStyle w:val="a3"/>
        <w:numPr>
          <w:ilvl w:val="0"/>
          <w:numId w:val="5"/>
        </w:numPr>
        <w:spacing w:after="0"/>
        <w:jc w:val="both"/>
        <w:rPr>
          <w:rFonts w:asciiTheme="majorHAnsi" w:hAnsiTheme="majorHAnsi"/>
          <w:sz w:val="28"/>
          <w:szCs w:val="28"/>
        </w:rPr>
      </w:pPr>
      <w:r w:rsidRPr="00200825">
        <w:rPr>
          <w:rFonts w:asciiTheme="majorHAnsi" w:hAnsiTheme="majorHAnsi"/>
          <w:sz w:val="28"/>
          <w:szCs w:val="28"/>
        </w:rPr>
        <w:t xml:space="preserve">IPAC OGC 10 Оцінка </w:t>
      </w:r>
      <w:r w:rsidR="0070685E">
        <w:rPr>
          <w:rFonts w:asciiTheme="majorHAnsi" w:hAnsiTheme="majorHAnsi"/>
          <w:sz w:val="28"/>
          <w:szCs w:val="28"/>
        </w:rPr>
        <w:t>непевність</w:t>
      </w:r>
      <w:r w:rsidRPr="00200825">
        <w:rPr>
          <w:rFonts w:asciiTheme="majorHAnsi" w:hAnsiTheme="majorHAnsi"/>
          <w:sz w:val="28"/>
          <w:szCs w:val="28"/>
        </w:rPr>
        <w:t xml:space="preserve"> вимірювання при калібруванні 2015</w:t>
      </w:r>
    </w:p>
    <w:p w14:paraId="67132714" w14:textId="77777777" w:rsidR="00CD6F31" w:rsidRPr="00200825" w:rsidRDefault="00CD6F31" w:rsidP="00CD6F31">
      <w:pPr>
        <w:spacing w:after="0"/>
        <w:jc w:val="both"/>
        <w:rPr>
          <w:rFonts w:asciiTheme="majorHAnsi" w:hAnsiTheme="majorHAnsi"/>
          <w:sz w:val="28"/>
          <w:szCs w:val="28"/>
        </w:rPr>
      </w:pPr>
    </w:p>
    <w:p w14:paraId="64CF1BDB" w14:textId="77777777" w:rsidR="00E43D21" w:rsidRPr="00200825" w:rsidRDefault="00E43D21" w:rsidP="00E43D21">
      <w:pPr>
        <w:pStyle w:val="a3"/>
        <w:numPr>
          <w:ilvl w:val="0"/>
          <w:numId w:val="5"/>
        </w:numPr>
        <w:spacing w:after="0"/>
        <w:jc w:val="both"/>
        <w:rPr>
          <w:rFonts w:asciiTheme="majorHAnsi" w:hAnsiTheme="majorHAnsi"/>
          <w:sz w:val="28"/>
          <w:szCs w:val="28"/>
        </w:rPr>
      </w:pPr>
      <w:r w:rsidRPr="00200825">
        <w:rPr>
          <w:rFonts w:asciiTheme="majorHAnsi" w:hAnsiTheme="majorHAnsi"/>
          <w:sz w:val="28"/>
          <w:szCs w:val="28"/>
        </w:rPr>
        <w:t xml:space="preserve">Документ COFRAC LAB REF 02, Вимоги до акредитації лабораторій відповідно до стандарту NF </w:t>
      </w:r>
      <w:r w:rsidR="00CD6F31" w:rsidRPr="00200825">
        <w:rPr>
          <w:rFonts w:asciiTheme="majorHAnsi" w:hAnsiTheme="majorHAnsi"/>
          <w:sz w:val="28"/>
          <w:szCs w:val="28"/>
        </w:rPr>
        <w:t>EN ISO/IEC 17025:2017, доступно</w:t>
      </w:r>
      <w:r w:rsidRPr="00200825">
        <w:rPr>
          <w:rFonts w:asciiTheme="majorHAnsi" w:hAnsiTheme="majorHAnsi"/>
          <w:sz w:val="28"/>
          <w:szCs w:val="28"/>
        </w:rPr>
        <w:t xml:space="preserve"> на </w:t>
      </w:r>
      <w:hyperlink r:id="rId11" w:history="1">
        <w:r w:rsidR="00CD6F31" w:rsidRPr="00200825">
          <w:rPr>
            <w:rStyle w:val="a4"/>
            <w:rFonts w:asciiTheme="majorHAnsi" w:hAnsiTheme="majorHAnsi"/>
            <w:sz w:val="28"/>
            <w:szCs w:val="28"/>
          </w:rPr>
          <w:t>www.cofrac.fr</w:t>
        </w:r>
      </w:hyperlink>
    </w:p>
    <w:p w14:paraId="786C887B" w14:textId="77777777" w:rsidR="00CD6F31" w:rsidRPr="00200825" w:rsidRDefault="00CD6F31" w:rsidP="00CD6F31">
      <w:pPr>
        <w:pStyle w:val="a3"/>
        <w:rPr>
          <w:rFonts w:asciiTheme="majorHAnsi" w:hAnsiTheme="majorHAnsi"/>
          <w:sz w:val="28"/>
          <w:szCs w:val="28"/>
        </w:rPr>
      </w:pPr>
    </w:p>
    <w:p w14:paraId="76BCD469" w14:textId="77777777" w:rsidR="00BA2C0E" w:rsidRPr="00B76F2C" w:rsidRDefault="00BA2C0E" w:rsidP="00B76F2C">
      <w:pPr>
        <w:spacing w:after="0"/>
        <w:jc w:val="both"/>
        <w:rPr>
          <w:rFonts w:asciiTheme="majorHAnsi" w:hAnsiTheme="majorHAnsi"/>
          <w:sz w:val="28"/>
          <w:szCs w:val="28"/>
        </w:rPr>
      </w:pPr>
    </w:p>
    <w:p w14:paraId="452DB88E" w14:textId="77777777" w:rsidR="00CD6F31" w:rsidRPr="00200825" w:rsidRDefault="00CD6F31" w:rsidP="00CD6F31">
      <w:pPr>
        <w:pStyle w:val="a3"/>
        <w:spacing w:after="0"/>
        <w:ind w:left="426"/>
        <w:jc w:val="both"/>
        <w:rPr>
          <w:rFonts w:asciiTheme="majorHAnsi" w:hAnsiTheme="majorHAnsi"/>
          <w:sz w:val="28"/>
          <w:szCs w:val="28"/>
        </w:rPr>
      </w:pPr>
    </w:p>
    <w:p w14:paraId="060DF588" w14:textId="77777777" w:rsidR="00CD6F31" w:rsidRPr="00200825" w:rsidRDefault="00F15A2E" w:rsidP="00CD6F31">
      <w:pPr>
        <w:pStyle w:val="a3"/>
        <w:spacing w:after="0"/>
        <w:ind w:left="426"/>
        <w:jc w:val="both"/>
        <w:rPr>
          <w:rFonts w:asciiTheme="majorHAnsi" w:hAnsiTheme="majorHAnsi"/>
          <w:b/>
          <w:sz w:val="28"/>
          <w:szCs w:val="28"/>
        </w:rPr>
      </w:pPr>
      <w:r w:rsidRPr="00200825">
        <w:rPr>
          <w:rFonts w:asciiTheme="majorHAnsi" w:hAnsiTheme="majorHAnsi"/>
          <w:b/>
          <w:sz w:val="28"/>
          <w:szCs w:val="28"/>
        </w:rPr>
        <w:lastRenderedPageBreak/>
        <w:t>ДОДАТОК А -</w:t>
      </w:r>
      <w:r w:rsidR="00CD6F31" w:rsidRPr="00200825">
        <w:rPr>
          <w:rFonts w:asciiTheme="majorHAnsi" w:hAnsiTheme="majorHAnsi"/>
          <w:b/>
          <w:sz w:val="28"/>
          <w:szCs w:val="28"/>
        </w:rPr>
        <w:t xml:space="preserve"> Інформаційний</w:t>
      </w:r>
    </w:p>
    <w:p w14:paraId="609122FE" w14:textId="77777777" w:rsidR="00CD6F31" w:rsidRPr="00200825" w:rsidRDefault="00CD6F31" w:rsidP="00CD6F31">
      <w:pPr>
        <w:pStyle w:val="a3"/>
        <w:spacing w:after="0"/>
        <w:ind w:left="426"/>
        <w:jc w:val="both"/>
        <w:rPr>
          <w:rFonts w:asciiTheme="majorHAnsi" w:hAnsiTheme="majorHAnsi"/>
          <w:b/>
          <w:sz w:val="28"/>
          <w:szCs w:val="28"/>
        </w:rPr>
      </w:pPr>
    </w:p>
    <w:p w14:paraId="3AF85A24" w14:textId="77777777" w:rsidR="00CD6F31" w:rsidRPr="00200825" w:rsidRDefault="00CD6F31" w:rsidP="00CD6F31">
      <w:pPr>
        <w:pStyle w:val="a3"/>
        <w:spacing w:after="0"/>
        <w:ind w:left="426"/>
        <w:jc w:val="center"/>
        <w:rPr>
          <w:rFonts w:asciiTheme="majorHAnsi" w:hAnsiTheme="majorHAnsi"/>
          <w:b/>
          <w:sz w:val="28"/>
          <w:szCs w:val="28"/>
        </w:rPr>
      </w:pPr>
      <w:r w:rsidRPr="00200825">
        <w:rPr>
          <w:rFonts w:asciiTheme="majorHAnsi" w:hAnsiTheme="majorHAnsi"/>
          <w:b/>
          <w:sz w:val="28"/>
          <w:szCs w:val="28"/>
        </w:rPr>
        <w:t>КАЛІБРУВАЛЬНІ ТА ВИМІРЮВАЛЬНІ МОЖЛИВОСТІ</w:t>
      </w:r>
    </w:p>
    <w:p w14:paraId="64A6F82F" w14:textId="77777777" w:rsidR="00CD6F31" w:rsidRPr="00200825" w:rsidRDefault="00CD6F31" w:rsidP="00CD6F31">
      <w:pPr>
        <w:pStyle w:val="a3"/>
        <w:spacing w:after="0"/>
        <w:ind w:left="426"/>
        <w:jc w:val="center"/>
        <w:rPr>
          <w:rFonts w:asciiTheme="majorHAnsi" w:hAnsiTheme="majorHAnsi"/>
          <w:b/>
          <w:sz w:val="28"/>
          <w:szCs w:val="28"/>
        </w:rPr>
      </w:pPr>
      <w:r w:rsidRPr="00200825">
        <w:rPr>
          <w:rFonts w:asciiTheme="majorHAnsi" w:hAnsiTheme="majorHAnsi"/>
          <w:b/>
          <w:sz w:val="28"/>
          <w:szCs w:val="28"/>
        </w:rPr>
        <w:t>Документ спільної робочої групи BIPM/ILAC</w:t>
      </w:r>
    </w:p>
    <w:p w14:paraId="748C0C7F" w14:textId="77777777" w:rsidR="00971C59" w:rsidRPr="00200825" w:rsidRDefault="00971C59" w:rsidP="00971C59">
      <w:pPr>
        <w:spacing w:after="0"/>
        <w:jc w:val="both"/>
        <w:rPr>
          <w:rFonts w:asciiTheme="majorHAnsi" w:hAnsiTheme="majorHAnsi"/>
          <w:b/>
          <w:sz w:val="28"/>
          <w:szCs w:val="28"/>
        </w:rPr>
      </w:pPr>
    </w:p>
    <w:p w14:paraId="3BC853C8" w14:textId="77777777" w:rsidR="00CB5304" w:rsidRPr="00200825" w:rsidRDefault="00CD6F31" w:rsidP="00BA2C0E">
      <w:pPr>
        <w:pStyle w:val="a3"/>
        <w:numPr>
          <w:ilvl w:val="0"/>
          <w:numId w:val="6"/>
        </w:numPr>
        <w:spacing w:after="0"/>
        <w:ind w:left="426" w:hanging="284"/>
        <w:jc w:val="both"/>
        <w:rPr>
          <w:rFonts w:asciiTheme="majorHAnsi" w:hAnsiTheme="majorHAnsi"/>
          <w:b/>
          <w:sz w:val="28"/>
          <w:szCs w:val="28"/>
        </w:rPr>
      </w:pPr>
      <w:r w:rsidRPr="00200825">
        <w:rPr>
          <w:rFonts w:asciiTheme="majorHAnsi" w:hAnsiTheme="majorHAnsi"/>
          <w:b/>
          <w:sz w:val="28"/>
          <w:szCs w:val="28"/>
        </w:rPr>
        <w:t>Підготовка</w:t>
      </w:r>
    </w:p>
    <w:p w14:paraId="0F42EC03" w14:textId="77777777" w:rsidR="00BA2C0E" w:rsidRPr="00200825" w:rsidRDefault="00BA2C0E" w:rsidP="00BA2C0E">
      <w:pPr>
        <w:spacing w:after="0"/>
        <w:jc w:val="both"/>
        <w:rPr>
          <w:rFonts w:asciiTheme="majorHAnsi" w:hAnsiTheme="majorHAnsi"/>
          <w:sz w:val="28"/>
          <w:szCs w:val="28"/>
        </w:rPr>
      </w:pPr>
    </w:p>
    <w:p w14:paraId="1564E617" w14:textId="77777777" w:rsidR="00CD6F31" w:rsidRPr="00200825" w:rsidRDefault="00115416" w:rsidP="00BA2C0E">
      <w:pPr>
        <w:pStyle w:val="a3"/>
        <w:numPr>
          <w:ilvl w:val="0"/>
          <w:numId w:val="9"/>
        </w:numPr>
        <w:spacing w:after="0"/>
        <w:ind w:left="851"/>
        <w:jc w:val="both"/>
        <w:rPr>
          <w:rFonts w:asciiTheme="majorHAnsi" w:hAnsiTheme="majorHAnsi"/>
          <w:sz w:val="28"/>
          <w:szCs w:val="28"/>
        </w:rPr>
      </w:pPr>
      <w:r w:rsidRPr="00200825">
        <w:rPr>
          <w:rFonts w:asciiTheme="majorHAnsi" w:hAnsiTheme="majorHAnsi"/>
          <w:sz w:val="28"/>
          <w:szCs w:val="28"/>
        </w:rPr>
        <w:t>У 2006 році п</w:t>
      </w:r>
      <w:r w:rsidR="002F1CD1" w:rsidRPr="00200825">
        <w:rPr>
          <w:rFonts w:asciiTheme="majorHAnsi" w:hAnsiTheme="majorHAnsi"/>
          <w:sz w:val="28"/>
          <w:szCs w:val="28"/>
        </w:rPr>
        <w:t>ісля Нашвільської зустрічі</w:t>
      </w:r>
      <w:r w:rsidR="00BD1F08" w:rsidRPr="00200825">
        <w:rPr>
          <w:rFonts w:asciiTheme="majorHAnsi" w:hAnsiTheme="majorHAnsi"/>
          <w:sz w:val="28"/>
          <w:szCs w:val="28"/>
        </w:rPr>
        <w:t xml:space="preserve"> Регіональних М</w:t>
      </w:r>
      <w:r w:rsidR="00CD6F31" w:rsidRPr="00200825">
        <w:rPr>
          <w:rFonts w:asciiTheme="majorHAnsi" w:hAnsiTheme="majorHAnsi"/>
          <w:sz w:val="28"/>
          <w:szCs w:val="28"/>
        </w:rPr>
        <w:t>етрологічних</w:t>
      </w:r>
      <w:r w:rsidR="00BD1F08" w:rsidRPr="00200825">
        <w:rPr>
          <w:rFonts w:asciiTheme="majorHAnsi" w:hAnsiTheme="majorHAnsi"/>
          <w:sz w:val="28"/>
          <w:szCs w:val="28"/>
        </w:rPr>
        <w:t xml:space="preserve"> О</w:t>
      </w:r>
      <w:r w:rsidRPr="00200825">
        <w:rPr>
          <w:rFonts w:asciiTheme="majorHAnsi" w:hAnsiTheme="majorHAnsi"/>
          <w:sz w:val="28"/>
          <w:szCs w:val="28"/>
        </w:rPr>
        <w:t>рганізацій та ILAC,</w:t>
      </w:r>
      <w:r w:rsidR="00CD6F31" w:rsidRPr="00200825">
        <w:rPr>
          <w:rFonts w:asciiTheme="majorHAnsi" w:hAnsiTheme="majorHAnsi"/>
          <w:sz w:val="28"/>
          <w:szCs w:val="28"/>
        </w:rPr>
        <w:t xml:space="preserve"> робоча група BIPM</w:t>
      </w:r>
      <w:r w:rsidR="002F1CD1" w:rsidRPr="00200825">
        <w:rPr>
          <w:rFonts w:asciiTheme="majorHAnsi" w:hAnsiTheme="majorHAnsi"/>
          <w:sz w:val="28"/>
          <w:szCs w:val="28"/>
        </w:rPr>
        <w:t xml:space="preserve">/ILAC отримала ряд коментарів </w:t>
      </w:r>
      <w:r w:rsidR="00CD6F31" w:rsidRPr="00200825">
        <w:rPr>
          <w:rFonts w:asciiTheme="majorHAnsi" w:hAnsiTheme="majorHAnsi"/>
          <w:sz w:val="28"/>
          <w:szCs w:val="28"/>
        </w:rPr>
        <w:t xml:space="preserve">до своїх пропозицій щодо </w:t>
      </w:r>
      <w:r w:rsidR="00BE2580" w:rsidRPr="00200825">
        <w:rPr>
          <w:rFonts w:asciiTheme="majorHAnsi" w:hAnsiTheme="majorHAnsi"/>
          <w:sz w:val="28"/>
          <w:szCs w:val="28"/>
        </w:rPr>
        <w:t>єдиної</w:t>
      </w:r>
      <w:r w:rsidR="00CD6F31" w:rsidRPr="00200825">
        <w:rPr>
          <w:rFonts w:asciiTheme="majorHAnsi" w:hAnsiTheme="majorHAnsi"/>
          <w:sz w:val="28"/>
          <w:szCs w:val="28"/>
        </w:rPr>
        <w:t xml:space="preserve"> термінології для </w:t>
      </w:r>
      <w:r w:rsidRPr="00200825">
        <w:rPr>
          <w:rFonts w:asciiTheme="majorHAnsi" w:hAnsiTheme="majorHAnsi"/>
          <w:sz w:val="28"/>
          <w:szCs w:val="28"/>
        </w:rPr>
        <w:t>Н</w:t>
      </w:r>
      <w:r w:rsidR="00CD6F31" w:rsidRPr="00200825">
        <w:rPr>
          <w:rFonts w:asciiTheme="majorHAnsi" w:hAnsiTheme="majorHAnsi"/>
          <w:sz w:val="28"/>
          <w:szCs w:val="28"/>
        </w:rPr>
        <w:t xml:space="preserve">айкращих вимірювальних можливостей (BMC) і </w:t>
      </w:r>
      <w:r w:rsidRPr="00200825">
        <w:rPr>
          <w:rFonts w:asciiTheme="majorHAnsi" w:hAnsiTheme="majorHAnsi"/>
          <w:sz w:val="28"/>
          <w:szCs w:val="28"/>
        </w:rPr>
        <w:t>Калібрувальн</w:t>
      </w:r>
      <w:r w:rsidR="002F1CD1" w:rsidRPr="00200825">
        <w:rPr>
          <w:rFonts w:asciiTheme="majorHAnsi" w:hAnsiTheme="majorHAnsi"/>
          <w:sz w:val="28"/>
          <w:szCs w:val="28"/>
        </w:rPr>
        <w:t>их та вимірювальних можливостей</w:t>
      </w:r>
      <w:r w:rsidR="00CD6F31" w:rsidRPr="00200825">
        <w:rPr>
          <w:rFonts w:asciiTheme="majorHAnsi" w:hAnsiTheme="majorHAnsi"/>
          <w:sz w:val="28"/>
          <w:szCs w:val="28"/>
        </w:rPr>
        <w:t xml:space="preserve"> (CMC). </w:t>
      </w:r>
      <w:r w:rsidRPr="00200825">
        <w:rPr>
          <w:rFonts w:asciiTheme="majorHAnsi" w:hAnsiTheme="majorHAnsi"/>
          <w:sz w:val="28"/>
          <w:szCs w:val="28"/>
        </w:rPr>
        <w:t>Також було отримано</w:t>
      </w:r>
      <w:r w:rsidR="00CD6F31" w:rsidRPr="00200825">
        <w:rPr>
          <w:rFonts w:asciiTheme="majorHAnsi" w:hAnsiTheme="majorHAnsi"/>
          <w:sz w:val="28"/>
          <w:szCs w:val="28"/>
        </w:rPr>
        <w:t xml:space="preserve"> коментарі щодо пропозиції узгодити термін</w:t>
      </w:r>
      <w:r w:rsidR="00C40265" w:rsidRPr="00200825">
        <w:rPr>
          <w:rFonts w:asciiTheme="majorHAnsi" w:hAnsiTheme="majorHAnsi"/>
          <w:sz w:val="28"/>
          <w:szCs w:val="28"/>
        </w:rPr>
        <w:t xml:space="preserve">: </w:t>
      </w:r>
      <w:r w:rsidR="00CD6F31" w:rsidRPr="00200825">
        <w:rPr>
          <w:rFonts w:asciiTheme="majorHAnsi" w:hAnsiTheme="majorHAnsi"/>
          <w:sz w:val="28"/>
          <w:szCs w:val="28"/>
        </w:rPr>
        <w:t xml:space="preserve"> «</w:t>
      </w:r>
      <w:r w:rsidR="00BE2580" w:rsidRPr="00200825">
        <w:rPr>
          <w:rFonts w:asciiTheme="majorHAnsi" w:hAnsiTheme="majorHAnsi"/>
          <w:sz w:val="28"/>
          <w:szCs w:val="28"/>
        </w:rPr>
        <w:t>Вимірювальна можливість</w:t>
      </w:r>
      <w:r w:rsidR="00CD6F31" w:rsidRPr="00200825">
        <w:rPr>
          <w:rFonts w:asciiTheme="majorHAnsi" w:hAnsiTheme="majorHAnsi"/>
          <w:sz w:val="28"/>
          <w:szCs w:val="28"/>
        </w:rPr>
        <w:t>» (MC).</w:t>
      </w:r>
      <w:r w:rsidR="00BE2580" w:rsidRPr="00200825">
        <w:rPr>
          <w:rFonts w:asciiTheme="majorHAnsi" w:hAnsiTheme="majorHAnsi"/>
          <w:sz w:val="28"/>
          <w:szCs w:val="28"/>
        </w:rPr>
        <w:t xml:space="preserve"> Деякі експерти, насамперед із спільноти RMO та Національного інституту метрології (NMI1), побажали, однак, зберегти термін CMC. </w:t>
      </w:r>
      <w:r w:rsidR="000D30C4" w:rsidRPr="00200825">
        <w:rPr>
          <w:rFonts w:asciiTheme="majorHAnsi" w:hAnsiTheme="majorHAnsi"/>
          <w:sz w:val="28"/>
          <w:szCs w:val="28"/>
        </w:rPr>
        <w:t>Вони стверджували, що він став широко прийнятим для використання в описі, оцінці, просуванні та публікації можливостей, пе</w:t>
      </w:r>
      <w:r w:rsidR="003C3BAA" w:rsidRPr="00200825">
        <w:rPr>
          <w:rFonts w:asciiTheme="majorHAnsi" w:hAnsiTheme="majorHAnsi"/>
          <w:sz w:val="28"/>
          <w:szCs w:val="28"/>
        </w:rPr>
        <w:t>релічених у частині Калібрувальні та вимірювальні можливості</w:t>
      </w:r>
      <w:r w:rsidR="000D30C4" w:rsidRPr="00200825">
        <w:rPr>
          <w:rFonts w:asciiTheme="majorHAnsi" w:hAnsiTheme="majorHAnsi"/>
          <w:sz w:val="28"/>
          <w:szCs w:val="28"/>
        </w:rPr>
        <w:t xml:space="preserve"> бази даних ключових </w:t>
      </w:r>
      <w:r w:rsidR="003C3BAA" w:rsidRPr="00200825">
        <w:rPr>
          <w:rFonts w:asciiTheme="majorHAnsi" w:hAnsiTheme="majorHAnsi"/>
          <w:sz w:val="28"/>
          <w:szCs w:val="28"/>
        </w:rPr>
        <w:t>звірень</w:t>
      </w:r>
      <w:r w:rsidR="000D30C4" w:rsidRPr="00200825">
        <w:rPr>
          <w:rFonts w:asciiTheme="majorHAnsi" w:hAnsiTheme="majorHAnsi"/>
          <w:sz w:val="28"/>
          <w:szCs w:val="28"/>
        </w:rPr>
        <w:t xml:space="preserve"> CIPM MRA.</w:t>
      </w:r>
      <w:r w:rsidR="00FA1EF8" w:rsidRPr="00200825">
        <w:rPr>
          <w:rFonts w:asciiTheme="majorHAnsi" w:hAnsiTheme="majorHAnsi"/>
          <w:sz w:val="28"/>
          <w:szCs w:val="28"/>
        </w:rPr>
        <w:t xml:space="preserve"> Інші експерти з обох спільнот вважали, що ці два терміни застосовували та тлумачили по-різному відповідно до встановленої </w:t>
      </w:r>
      <w:r w:rsidR="00AB6571" w:rsidRPr="00200825">
        <w:rPr>
          <w:rFonts w:asciiTheme="majorHAnsi" w:hAnsiTheme="majorHAnsi"/>
          <w:sz w:val="28"/>
          <w:szCs w:val="28"/>
        </w:rPr>
        <w:t>практики, або через погане чи</w:t>
      </w:r>
      <w:r w:rsidR="00FA1EF8" w:rsidRPr="00200825">
        <w:rPr>
          <w:rFonts w:asciiTheme="majorHAnsi" w:hAnsiTheme="majorHAnsi"/>
          <w:sz w:val="28"/>
          <w:szCs w:val="28"/>
        </w:rPr>
        <w:t xml:space="preserve"> непослідовне </w:t>
      </w:r>
      <w:r w:rsidR="00C40265" w:rsidRPr="00200825">
        <w:rPr>
          <w:rFonts w:asciiTheme="majorHAnsi" w:hAnsiTheme="majorHAnsi"/>
          <w:sz w:val="28"/>
          <w:szCs w:val="28"/>
        </w:rPr>
        <w:t>розуміння</w:t>
      </w:r>
      <w:r w:rsidR="00FA1EF8" w:rsidRPr="00200825">
        <w:rPr>
          <w:rFonts w:asciiTheme="majorHAnsi" w:hAnsiTheme="majorHAnsi"/>
          <w:sz w:val="28"/>
          <w:szCs w:val="28"/>
        </w:rPr>
        <w:t>.</w:t>
      </w:r>
      <w:r w:rsidR="00AB6571" w:rsidRPr="00200825">
        <w:rPr>
          <w:rFonts w:asciiTheme="majorHAnsi" w:hAnsiTheme="majorHAnsi"/>
          <w:sz w:val="28"/>
          <w:szCs w:val="28"/>
        </w:rPr>
        <w:t xml:space="preserve"> Вони вважали, що це</w:t>
      </w:r>
      <w:r w:rsidR="00B30E5D" w:rsidRPr="00200825">
        <w:rPr>
          <w:rFonts w:asciiTheme="majorHAnsi" w:hAnsiTheme="majorHAnsi"/>
          <w:sz w:val="28"/>
          <w:szCs w:val="28"/>
        </w:rPr>
        <w:t xml:space="preserve"> </w:t>
      </w:r>
      <w:r w:rsidR="00C165F7">
        <w:rPr>
          <w:rFonts w:asciiTheme="majorHAnsi" w:hAnsiTheme="majorHAnsi"/>
          <w:sz w:val="28"/>
          <w:szCs w:val="28"/>
        </w:rPr>
        <w:t xml:space="preserve"> само собою</w:t>
      </w:r>
      <w:r w:rsidR="00B30E5D" w:rsidRPr="00200825">
        <w:rPr>
          <w:rFonts w:asciiTheme="majorHAnsi" w:hAnsiTheme="majorHAnsi"/>
          <w:sz w:val="28"/>
          <w:szCs w:val="28"/>
        </w:rPr>
        <w:t xml:space="preserve"> достатнє обґрунтування</w:t>
      </w:r>
      <w:r w:rsidR="00AB6571" w:rsidRPr="00200825">
        <w:rPr>
          <w:rFonts w:asciiTheme="majorHAnsi" w:hAnsiTheme="majorHAnsi"/>
          <w:sz w:val="28"/>
          <w:szCs w:val="28"/>
        </w:rPr>
        <w:t xml:space="preserve"> для гармонізації </w:t>
      </w:r>
      <w:r w:rsidR="00B30E5D" w:rsidRPr="00200825">
        <w:rPr>
          <w:rFonts w:asciiTheme="majorHAnsi" w:hAnsiTheme="majorHAnsi"/>
          <w:sz w:val="28"/>
          <w:szCs w:val="28"/>
        </w:rPr>
        <w:t>визначення</w:t>
      </w:r>
      <w:r w:rsidR="00AB6571" w:rsidRPr="00200825">
        <w:rPr>
          <w:rFonts w:asciiTheme="majorHAnsi" w:hAnsiTheme="majorHAnsi"/>
          <w:sz w:val="28"/>
          <w:szCs w:val="28"/>
        </w:rPr>
        <w:t>. Проте всі погодилися з тим, що необхідно прод</w:t>
      </w:r>
      <w:r w:rsidR="00B30E5D" w:rsidRPr="00200825">
        <w:rPr>
          <w:rFonts w:asciiTheme="majorHAnsi" w:hAnsiTheme="majorHAnsi"/>
          <w:sz w:val="28"/>
          <w:szCs w:val="28"/>
        </w:rPr>
        <w:t xml:space="preserve">овжити роботу над виконанням </w:t>
      </w:r>
      <w:r w:rsidR="00AB6571" w:rsidRPr="00200825">
        <w:rPr>
          <w:rFonts w:asciiTheme="majorHAnsi" w:hAnsiTheme="majorHAnsi"/>
          <w:sz w:val="28"/>
          <w:szCs w:val="28"/>
        </w:rPr>
        <w:t>На</w:t>
      </w:r>
      <w:r w:rsidR="00B30E5D" w:rsidRPr="00200825">
        <w:rPr>
          <w:rFonts w:asciiTheme="majorHAnsi" w:hAnsiTheme="majorHAnsi"/>
          <w:sz w:val="28"/>
          <w:szCs w:val="28"/>
        </w:rPr>
        <w:t>швільської заяви</w:t>
      </w:r>
      <w:r w:rsidR="00AB6571" w:rsidRPr="00200825">
        <w:rPr>
          <w:rFonts w:asciiTheme="majorHAnsi" w:hAnsiTheme="majorHAnsi"/>
          <w:sz w:val="28"/>
          <w:szCs w:val="28"/>
        </w:rPr>
        <w:t xml:space="preserve"> (NS).</w:t>
      </w:r>
    </w:p>
    <w:p w14:paraId="5ADBC045" w14:textId="77777777" w:rsidR="00253153" w:rsidRPr="00200825" w:rsidRDefault="00253153" w:rsidP="00BA2C0E">
      <w:pPr>
        <w:pStyle w:val="a3"/>
        <w:spacing w:after="0"/>
        <w:ind w:left="851"/>
        <w:jc w:val="both"/>
        <w:rPr>
          <w:rFonts w:asciiTheme="majorHAnsi" w:hAnsiTheme="majorHAnsi"/>
          <w:sz w:val="28"/>
          <w:szCs w:val="28"/>
        </w:rPr>
      </w:pPr>
    </w:p>
    <w:p w14:paraId="3B6BEE95" w14:textId="77777777" w:rsidR="00253153" w:rsidRPr="00200825" w:rsidRDefault="00B76F2C" w:rsidP="00BA2C0E">
      <w:pPr>
        <w:pStyle w:val="a3"/>
        <w:numPr>
          <w:ilvl w:val="0"/>
          <w:numId w:val="9"/>
        </w:numPr>
        <w:spacing w:after="0"/>
        <w:ind w:left="709" w:firstLine="0"/>
        <w:jc w:val="both"/>
        <w:rPr>
          <w:rFonts w:asciiTheme="majorHAnsi" w:hAnsiTheme="majorHAnsi"/>
          <w:sz w:val="28"/>
          <w:szCs w:val="28"/>
        </w:rPr>
      </w:pPr>
      <w:r>
        <w:rPr>
          <w:rFonts w:asciiTheme="majorHAnsi" w:hAnsiTheme="majorHAnsi"/>
          <w:sz w:val="28"/>
          <w:szCs w:val="28"/>
        </w:rPr>
        <w:t xml:space="preserve">8 березня 2007 </w:t>
      </w:r>
      <w:r w:rsidR="006A1C08" w:rsidRPr="00200825">
        <w:rPr>
          <w:rFonts w:asciiTheme="majorHAnsi" w:hAnsiTheme="majorHAnsi"/>
          <w:sz w:val="28"/>
          <w:szCs w:val="28"/>
        </w:rPr>
        <w:t xml:space="preserve">BIPM та ILAC </w:t>
      </w:r>
      <w:r w:rsidR="009977EC" w:rsidRPr="00200825">
        <w:rPr>
          <w:rFonts w:asciiTheme="majorHAnsi" w:hAnsiTheme="majorHAnsi"/>
          <w:sz w:val="28"/>
          <w:szCs w:val="28"/>
        </w:rPr>
        <w:t>на двосторонній зустрічі обговорили між собою</w:t>
      </w:r>
      <w:r w:rsidR="006A1C08" w:rsidRPr="00200825">
        <w:rPr>
          <w:rFonts w:asciiTheme="majorHAnsi" w:hAnsiTheme="majorHAnsi"/>
          <w:sz w:val="28"/>
          <w:szCs w:val="28"/>
        </w:rPr>
        <w:t xml:space="preserve"> ще одну пропозицію</w:t>
      </w:r>
      <w:r w:rsidR="009977EC" w:rsidRPr="00200825">
        <w:rPr>
          <w:rFonts w:asciiTheme="majorHAnsi" w:hAnsiTheme="majorHAnsi"/>
          <w:sz w:val="28"/>
          <w:szCs w:val="28"/>
        </w:rPr>
        <w:t xml:space="preserve">, де представники ILAC запропонували відмовитися від терміну BMC та узгодити CMC. </w:t>
      </w:r>
      <w:r>
        <w:rPr>
          <w:rFonts w:asciiTheme="majorHAnsi" w:hAnsiTheme="majorHAnsi"/>
          <w:sz w:val="28"/>
          <w:szCs w:val="28"/>
        </w:rPr>
        <w:t xml:space="preserve">9 березня 2007 </w:t>
      </w:r>
      <w:r w:rsidR="00BD1F08" w:rsidRPr="00200825">
        <w:rPr>
          <w:rFonts w:asciiTheme="majorHAnsi" w:hAnsiTheme="majorHAnsi"/>
          <w:sz w:val="28"/>
          <w:szCs w:val="28"/>
        </w:rPr>
        <w:t>ц</w:t>
      </w:r>
      <w:r w:rsidR="00F26937" w:rsidRPr="00200825">
        <w:rPr>
          <w:rFonts w:asciiTheme="majorHAnsi" w:hAnsiTheme="majorHAnsi"/>
          <w:sz w:val="28"/>
          <w:szCs w:val="28"/>
        </w:rPr>
        <w:t>е питання представили на зустрічі Регіональних Метрологічних О</w:t>
      </w:r>
      <w:r w:rsidR="00BD1F08" w:rsidRPr="00200825">
        <w:rPr>
          <w:rFonts w:asciiTheme="majorHAnsi" w:hAnsiTheme="majorHAnsi"/>
          <w:sz w:val="28"/>
          <w:szCs w:val="28"/>
        </w:rPr>
        <w:t>рганізацій (RMO) і Регіональних Органів з А</w:t>
      </w:r>
      <w:r w:rsidR="00F26937" w:rsidRPr="00200825">
        <w:rPr>
          <w:rFonts w:asciiTheme="majorHAnsi" w:hAnsiTheme="majorHAnsi"/>
          <w:sz w:val="28"/>
          <w:szCs w:val="28"/>
        </w:rPr>
        <w:t>кредитації (RAB).</w:t>
      </w:r>
      <w:r w:rsidR="00BD1F08" w:rsidRPr="00200825">
        <w:rPr>
          <w:rFonts w:asciiTheme="majorHAnsi" w:hAnsiTheme="majorHAnsi"/>
          <w:sz w:val="28"/>
          <w:szCs w:val="28"/>
        </w:rPr>
        <w:t xml:space="preserve"> </w:t>
      </w:r>
      <w:r w:rsidR="00B30E5D" w:rsidRPr="00200825">
        <w:rPr>
          <w:rFonts w:asciiTheme="majorHAnsi" w:hAnsiTheme="majorHAnsi"/>
          <w:sz w:val="28"/>
          <w:szCs w:val="28"/>
        </w:rPr>
        <w:t>На з</w:t>
      </w:r>
      <w:r w:rsidR="009F5E02" w:rsidRPr="00200825">
        <w:rPr>
          <w:rFonts w:asciiTheme="majorHAnsi" w:hAnsiTheme="majorHAnsi"/>
          <w:sz w:val="28"/>
          <w:szCs w:val="28"/>
        </w:rPr>
        <w:t>устріч</w:t>
      </w:r>
      <w:r w:rsidR="00B30E5D" w:rsidRPr="00200825">
        <w:rPr>
          <w:rFonts w:asciiTheme="majorHAnsi" w:hAnsiTheme="majorHAnsi"/>
          <w:sz w:val="28"/>
          <w:szCs w:val="28"/>
        </w:rPr>
        <w:t>і</w:t>
      </w:r>
      <w:r w:rsidR="009F5E02" w:rsidRPr="00200825">
        <w:rPr>
          <w:rFonts w:asciiTheme="majorHAnsi" w:hAnsiTheme="majorHAnsi"/>
          <w:sz w:val="28"/>
          <w:szCs w:val="28"/>
        </w:rPr>
        <w:t xml:space="preserve"> RMO/RAB узгодили текст.</w:t>
      </w:r>
      <w:r w:rsidR="0063479B" w:rsidRPr="00200825">
        <w:rPr>
          <w:rFonts w:asciiTheme="majorHAnsi" w:hAnsiTheme="majorHAnsi"/>
          <w:sz w:val="28"/>
          <w:szCs w:val="28"/>
        </w:rPr>
        <w:t xml:space="preserve"> </w:t>
      </w:r>
      <w:r>
        <w:rPr>
          <w:rFonts w:asciiTheme="majorHAnsi" w:hAnsiTheme="majorHAnsi"/>
          <w:sz w:val="28"/>
          <w:szCs w:val="28"/>
        </w:rPr>
        <w:t>3 травня 2007</w:t>
      </w:r>
      <w:r w:rsidR="0063479B" w:rsidRPr="00200825">
        <w:rPr>
          <w:rFonts w:asciiTheme="majorHAnsi" w:hAnsiTheme="majorHAnsi"/>
          <w:sz w:val="28"/>
          <w:szCs w:val="28"/>
        </w:rPr>
        <w:t xml:space="preserve"> в Йоганнесбурзі невеликі зміни були внесені на Об’єднаному комітеті Регіональних Метрологічних Організацій і BIPM (JCRB). </w:t>
      </w:r>
      <w:r>
        <w:rPr>
          <w:rFonts w:asciiTheme="majorHAnsi" w:hAnsiTheme="majorHAnsi"/>
          <w:sz w:val="28"/>
          <w:szCs w:val="28"/>
        </w:rPr>
        <w:t xml:space="preserve">Потім 10 травня 2007 </w:t>
      </w:r>
      <w:r w:rsidR="002D0FE7" w:rsidRPr="00200825">
        <w:rPr>
          <w:rFonts w:asciiTheme="majorHAnsi" w:hAnsiTheme="majorHAnsi"/>
          <w:sz w:val="28"/>
          <w:szCs w:val="28"/>
        </w:rPr>
        <w:t xml:space="preserve"> було зроблено презентацію Комітету з питань акредитації ILAC, який ухвалив документ. </w:t>
      </w:r>
      <w:r w:rsidR="00B30E5D" w:rsidRPr="00200825">
        <w:rPr>
          <w:rFonts w:asciiTheme="majorHAnsi" w:hAnsiTheme="majorHAnsi"/>
          <w:sz w:val="28"/>
          <w:szCs w:val="28"/>
        </w:rPr>
        <w:t>1 червня ц</w:t>
      </w:r>
      <w:r w:rsidR="00D34B71" w:rsidRPr="00200825">
        <w:rPr>
          <w:rFonts w:asciiTheme="majorHAnsi" w:hAnsiTheme="majorHAnsi"/>
          <w:sz w:val="28"/>
          <w:szCs w:val="28"/>
        </w:rPr>
        <w:t>ей текст</w:t>
      </w:r>
      <w:r w:rsidR="00200825" w:rsidRPr="00200825">
        <w:rPr>
          <w:rFonts w:asciiTheme="majorHAnsi" w:hAnsiTheme="majorHAnsi"/>
          <w:sz w:val="28"/>
          <w:szCs w:val="28"/>
        </w:rPr>
        <w:t xml:space="preserve"> надіслали членам робочої групи</w:t>
      </w:r>
      <w:r w:rsidR="00D34B71" w:rsidRPr="00200825">
        <w:rPr>
          <w:rFonts w:asciiTheme="majorHAnsi" w:hAnsiTheme="majorHAnsi"/>
          <w:sz w:val="28"/>
          <w:szCs w:val="28"/>
        </w:rPr>
        <w:t xml:space="preserve"> напередодні </w:t>
      </w:r>
      <w:r w:rsidR="00B30E5D" w:rsidRPr="00200825">
        <w:rPr>
          <w:rFonts w:asciiTheme="majorHAnsi" w:hAnsiTheme="majorHAnsi"/>
          <w:sz w:val="28"/>
          <w:szCs w:val="28"/>
        </w:rPr>
        <w:t xml:space="preserve"> </w:t>
      </w:r>
      <w:r w:rsidR="00D34B71" w:rsidRPr="00200825">
        <w:rPr>
          <w:rFonts w:asciiTheme="majorHAnsi" w:hAnsiTheme="majorHAnsi"/>
          <w:sz w:val="28"/>
          <w:szCs w:val="28"/>
        </w:rPr>
        <w:t>запланованої зустрічі під час конференції NCSLI у Се</w:t>
      </w:r>
      <w:r w:rsidR="00B30E5D" w:rsidRPr="00200825">
        <w:rPr>
          <w:rFonts w:asciiTheme="majorHAnsi" w:hAnsiTheme="majorHAnsi"/>
          <w:sz w:val="28"/>
          <w:szCs w:val="28"/>
        </w:rPr>
        <w:t>нт-Полі, США</w:t>
      </w:r>
      <w:r w:rsidR="00D34B71" w:rsidRPr="00200825">
        <w:rPr>
          <w:rFonts w:asciiTheme="majorHAnsi" w:hAnsiTheme="majorHAnsi"/>
          <w:sz w:val="28"/>
          <w:szCs w:val="28"/>
        </w:rPr>
        <w:t xml:space="preserve"> для проведення подальших регіональних консультацій</w:t>
      </w:r>
      <w:r>
        <w:rPr>
          <w:rFonts w:asciiTheme="majorHAnsi" w:hAnsiTheme="majorHAnsi"/>
          <w:sz w:val="28"/>
          <w:szCs w:val="28"/>
        </w:rPr>
        <w:t xml:space="preserve">, які пройшли 1 серпня 2007. </w:t>
      </w:r>
      <w:r w:rsidR="00A121A6" w:rsidRPr="00200825">
        <w:rPr>
          <w:rFonts w:asciiTheme="majorHAnsi" w:hAnsiTheme="majorHAnsi"/>
          <w:sz w:val="28"/>
          <w:szCs w:val="28"/>
        </w:rPr>
        <w:t>Протягом цього періоду невелика робоча група розробила «Примітки 5a і b», призначені для спільноти референтних матеріалів.</w:t>
      </w:r>
    </w:p>
    <w:p w14:paraId="36ACA9F7" w14:textId="77777777" w:rsidR="00306B38" w:rsidRPr="00200825" w:rsidRDefault="00306B38" w:rsidP="00306B38">
      <w:pPr>
        <w:spacing w:after="0"/>
        <w:jc w:val="both"/>
        <w:rPr>
          <w:rFonts w:asciiTheme="majorHAnsi" w:hAnsiTheme="majorHAnsi"/>
          <w:sz w:val="28"/>
          <w:szCs w:val="28"/>
        </w:rPr>
      </w:pPr>
    </w:p>
    <w:p w14:paraId="1901286C" w14:textId="77777777" w:rsidR="00BF06CC" w:rsidRPr="00200825" w:rsidRDefault="00BF06CC" w:rsidP="00306B38">
      <w:pPr>
        <w:spacing w:after="0"/>
        <w:jc w:val="both"/>
        <w:rPr>
          <w:rFonts w:asciiTheme="majorHAnsi" w:hAnsiTheme="majorHAnsi"/>
          <w:sz w:val="28"/>
          <w:szCs w:val="28"/>
        </w:rPr>
      </w:pPr>
    </w:p>
    <w:p w14:paraId="5C7879D8" w14:textId="77777777" w:rsidR="00306B38" w:rsidRPr="00200825" w:rsidRDefault="00BF06CC" w:rsidP="00BA2C0E">
      <w:pPr>
        <w:pStyle w:val="a3"/>
        <w:numPr>
          <w:ilvl w:val="0"/>
          <w:numId w:val="9"/>
        </w:numPr>
        <w:spacing w:after="0"/>
        <w:jc w:val="both"/>
        <w:rPr>
          <w:rFonts w:asciiTheme="majorHAnsi" w:hAnsiTheme="majorHAnsi"/>
          <w:sz w:val="28"/>
          <w:szCs w:val="28"/>
        </w:rPr>
      </w:pPr>
      <w:r w:rsidRPr="00200825">
        <w:rPr>
          <w:rFonts w:asciiTheme="majorHAnsi" w:hAnsiTheme="majorHAnsi"/>
          <w:sz w:val="28"/>
          <w:szCs w:val="28"/>
        </w:rPr>
        <w:lastRenderedPageBreak/>
        <w:t>Робоча група BIPM/ILAC завершила роботу над текстом під час зустрічі Святого Павла і в жовтн</w:t>
      </w:r>
      <w:r w:rsidR="00B76F2C">
        <w:rPr>
          <w:rFonts w:asciiTheme="majorHAnsi" w:hAnsiTheme="majorHAnsi"/>
          <w:sz w:val="28"/>
          <w:szCs w:val="28"/>
        </w:rPr>
        <w:t>і 2007</w:t>
      </w:r>
      <w:r w:rsidRPr="00200825">
        <w:rPr>
          <w:rFonts w:asciiTheme="majorHAnsi" w:hAnsiTheme="majorHAnsi"/>
          <w:sz w:val="28"/>
          <w:szCs w:val="28"/>
        </w:rPr>
        <w:t xml:space="preserve"> представила його для схвалення Генеральною асамблеєю ILAC та в листопаді 2007 р. для Міжнародного комітету мір і ваг (CIPM). Робоча група запропонувала пі</w:t>
      </w:r>
      <w:r w:rsidR="006A1C08" w:rsidRPr="00200825">
        <w:rPr>
          <w:rFonts w:asciiTheme="majorHAnsi" w:hAnsiTheme="majorHAnsi"/>
          <w:sz w:val="28"/>
          <w:szCs w:val="28"/>
        </w:rPr>
        <w:t>дготуват</w:t>
      </w:r>
      <w:r w:rsidRPr="00200825">
        <w:rPr>
          <w:rFonts w:asciiTheme="majorHAnsi" w:hAnsiTheme="majorHAnsi"/>
          <w:sz w:val="28"/>
          <w:szCs w:val="28"/>
        </w:rPr>
        <w:t xml:space="preserve">и спільну заяву </w:t>
      </w:r>
      <w:r w:rsidR="006A1C08" w:rsidRPr="00200825">
        <w:rPr>
          <w:rFonts w:asciiTheme="majorHAnsi" w:hAnsiTheme="majorHAnsi"/>
          <w:sz w:val="28"/>
          <w:szCs w:val="28"/>
        </w:rPr>
        <w:t>після схвалення BIPM та ILAC</w:t>
      </w:r>
      <w:r w:rsidRPr="00200825">
        <w:rPr>
          <w:rFonts w:asciiTheme="majorHAnsi" w:hAnsiTheme="majorHAnsi"/>
          <w:sz w:val="28"/>
          <w:szCs w:val="28"/>
        </w:rPr>
        <w:t>.</w:t>
      </w:r>
      <w:r w:rsidR="00FD601F" w:rsidRPr="00200825">
        <w:rPr>
          <w:rFonts w:asciiTheme="majorHAnsi" w:hAnsiTheme="majorHAnsi"/>
          <w:sz w:val="28"/>
          <w:szCs w:val="28"/>
        </w:rPr>
        <w:t xml:space="preserve"> </w:t>
      </w:r>
      <w:r w:rsidR="003B6F8B" w:rsidRPr="00200825">
        <w:rPr>
          <w:rFonts w:asciiTheme="majorHAnsi" w:hAnsiTheme="majorHAnsi"/>
          <w:sz w:val="28"/>
          <w:szCs w:val="28"/>
        </w:rPr>
        <w:t>Вона також рекомендувала</w:t>
      </w:r>
      <w:r w:rsidR="00FD601F" w:rsidRPr="00200825">
        <w:rPr>
          <w:rFonts w:asciiTheme="majorHAnsi" w:hAnsiTheme="majorHAnsi"/>
          <w:sz w:val="28"/>
          <w:szCs w:val="28"/>
        </w:rPr>
        <w:t xml:space="preserve"> IL</w:t>
      </w:r>
      <w:r w:rsidR="003B6F8B" w:rsidRPr="00200825">
        <w:rPr>
          <w:rFonts w:asciiTheme="majorHAnsi" w:hAnsiTheme="majorHAnsi"/>
          <w:sz w:val="28"/>
          <w:szCs w:val="28"/>
        </w:rPr>
        <w:t>AC адаптувати свій поточний проє</w:t>
      </w:r>
      <w:r w:rsidR="00FD601F" w:rsidRPr="00200825">
        <w:rPr>
          <w:rFonts w:asciiTheme="majorHAnsi" w:hAnsiTheme="majorHAnsi"/>
          <w:sz w:val="28"/>
          <w:szCs w:val="28"/>
        </w:rPr>
        <w:t>кт</w:t>
      </w:r>
      <w:r w:rsidR="003B6F8B" w:rsidRPr="00200825">
        <w:rPr>
          <w:rFonts w:asciiTheme="majorHAnsi" w:hAnsiTheme="majorHAnsi"/>
          <w:sz w:val="28"/>
          <w:szCs w:val="28"/>
        </w:rPr>
        <w:t xml:space="preserve"> політики</w:t>
      </w:r>
      <w:r w:rsidR="00FD601F" w:rsidRPr="00200825">
        <w:rPr>
          <w:rFonts w:asciiTheme="majorHAnsi" w:hAnsiTheme="majorHAnsi"/>
          <w:sz w:val="28"/>
          <w:szCs w:val="28"/>
        </w:rPr>
        <w:t xml:space="preserve"> щодо оцінки </w:t>
      </w:r>
      <w:r w:rsidR="0070685E">
        <w:rPr>
          <w:rFonts w:asciiTheme="majorHAnsi" w:hAnsiTheme="majorHAnsi"/>
          <w:sz w:val="28"/>
          <w:szCs w:val="28"/>
        </w:rPr>
        <w:t>непевність</w:t>
      </w:r>
      <w:r w:rsidR="003B6F8B" w:rsidRPr="00200825">
        <w:rPr>
          <w:rFonts w:asciiTheme="majorHAnsi" w:hAnsiTheme="majorHAnsi"/>
          <w:sz w:val="28"/>
          <w:szCs w:val="28"/>
        </w:rPr>
        <w:t xml:space="preserve"> калібрування для </w:t>
      </w:r>
      <w:r w:rsidR="00FD601F" w:rsidRPr="00200825">
        <w:rPr>
          <w:rFonts w:asciiTheme="majorHAnsi" w:hAnsiTheme="majorHAnsi"/>
          <w:sz w:val="28"/>
          <w:szCs w:val="28"/>
        </w:rPr>
        <w:t>врах</w:t>
      </w:r>
      <w:r w:rsidR="003B6F8B" w:rsidRPr="00200825">
        <w:rPr>
          <w:rFonts w:asciiTheme="majorHAnsi" w:hAnsiTheme="majorHAnsi"/>
          <w:sz w:val="28"/>
          <w:szCs w:val="28"/>
        </w:rPr>
        <w:t>ування рекомендацій та результату діяльності</w:t>
      </w:r>
      <w:r w:rsidR="00FD601F" w:rsidRPr="00200825">
        <w:rPr>
          <w:rFonts w:asciiTheme="majorHAnsi" w:hAnsiTheme="majorHAnsi"/>
          <w:sz w:val="28"/>
          <w:szCs w:val="28"/>
        </w:rPr>
        <w:t xml:space="preserve"> робочої групи.</w:t>
      </w:r>
      <w:r w:rsidR="003B6F8B" w:rsidRPr="00200825">
        <w:rPr>
          <w:rFonts w:asciiTheme="majorHAnsi" w:hAnsiTheme="majorHAnsi"/>
          <w:sz w:val="28"/>
          <w:szCs w:val="28"/>
        </w:rPr>
        <w:t xml:space="preserve"> </w:t>
      </w:r>
      <w:r w:rsidR="00A622CF" w:rsidRPr="00200825">
        <w:rPr>
          <w:rFonts w:asciiTheme="majorHAnsi" w:hAnsiTheme="majorHAnsi"/>
          <w:sz w:val="28"/>
          <w:szCs w:val="28"/>
        </w:rPr>
        <w:t xml:space="preserve">Робоча група </w:t>
      </w:r>
      <w:r w:rsidR="00892CFC" w:rsidRPr="00200825">
        <w:rPr>
          <w:rFonts w:asciiTheme="majorHAnsi" w:hAnsiTheme="majorHAnsi"/>
          <w:sz w:val="28"/>
          <w:szCs w:val="28"/>
        </w:rPr>
        <w:t>продовжила</w:t>
      </w:r>
      <w:r w:rsidR="00A622CF" w:rsidRPr="00200825">
        <w:rPr>
          <w:rFonts w:asciiTheme="majorHAnsi" w:hAnsiTheme="majorHAnsi"/>
          <w:sz w:val="28"/>
          <w:szCs w:val="28"/>
        </w:rPr>
        <w:t xml:space="preserve"> співпрацю над іншими спільними документами, які можуть включати додаткові вказівки для лабораторій або органів, які виробляють </w:t>
      </w:r>
      <w:r w:rsidR="007756E4" w:rsidRPr="00200825">
        <w:rPr>
          <w:rFonts w:asciiTheme="majorHAnsi" w:hAnsiTheme="majorHAnsi"/>
          <w:sz w:val="28"/>
          <w:szCs w:val="28"/>
        </w:rPr>
        <w:t>референтні</w:t>
      </w:r>
      <w:r w:rsidR="00A622CF" w:rsidRPr="00200825">
        <w:rPr>
          <w:rFonts w:asciiTheme="majorHAnsi" w:hAnsiTheme="majorHAnsi"/>
          <w:sz w:val="28"/>
          <w:szCs w:val="28"/>
        </w:rPr>
        <w:t xml:space="preserve"> матеріали.</w:t>
      </w:r>
      <w:r w:rsidR="007756E4" w:rsidRPr="00200825">
        <w:rPr>
          <w:rFonts w:asciiTheme="majorHAnsi" w:hAnsiTheme="majorHAnsi"/>
          <w:sz w:val="28"/>
          <w:szCs w:val="28"/>
        </w:rPr>
        <w:t xml:space="preserve"> Інші документи можуть включати будь-які погоджені дії </w:t>
      </w:r>
      <w:r w:rsidR="00283B7D" w:rsidRPr="00200825">
        <w:rPr>
          <w:rFonts w:asciiTheme="majorHAnsi" w:hAnsiTheme="majorHAnsi"/>
          <w:sz w:val="28"/>
          <w:szCs w:val="28"/>
        </w:rPr>
        <w:t>в результаті</w:t>
      </w:r>
      <w:r w:rsidR="007756E4" w:rsidRPr="00200825">
        <w:rPr>
          <w:rFonts w:asciiTheme="majorHAnsi" w:hAnsiTheme="majorHAnsi"/>
          <w:sz w:val="28"/>
          <w:szCs w:val="28"/>
        </w:rPr>
        <w:t xml:space="preserve"> опитування органів </w:t>
      </w:r>
      <w:r w:rsidR="00C745F0" w:rsidRPr="00200825">
        <w:rPr>
          <w:rFonts w:asciiTheme="majorHAnsi" w:hAnsiTheme="majorHAnsi"/>
          <w:sz w:val="28"/>
          <w:szCs w:val="28"/>
        </w:rPr>
        <w:t xml:space="preserve">ILAC </w:t>
      </w:r>
      <w:r w:rsidR="007756E4" w:rsidRPr="00200825">
        <w:rPr>
          <w:rFonts w:asciiTheme="majorHAnsi" w:hAnsiTheme="majorHAnsi"/>
          <w:sz w:val="28"/>
          <w:szCs w:val="28"/>
        </w:rPr>
        <w:t xml:space="preserve">з акредитації щодо їхнього досвіду акредитації NMIs та подібного опитування </w:t>
      </w:r>
      <w:r w:rsidR="00200825" w:rsidRPr="00200825">
        <w:rPr>
          <w:rFonts w:asciiTheme="majorHAnsi" w:hAnsiTheme="majorHAnsi"/>
          <w:sz w:val="28"/>
          <w:szCs w:val="28"/>
        </w:rPr>
        <w:t xml:space="preserve">щодо </w:t>
      </w:r>
      <w:r w:rsidR="007756E4" w:rsidRPr="00200825">
        <w:rPr>
          <w:rFonts w:asciiTheme="majorHAnsi" w:hAnsiTheme="majorHAnsi"/>
          <w:sz w:val="28"/>
          <w:szCs w:val="28"/>
        </w:rPr>
        <w:t xml:space="preserve">досвіду NMIs. </w:t>
      </w:r>
      <w:r w:rsidR="00892CFC" w:rsidRPr="00200825">
        <w:rPr>
          <w:rFonts w:asciiTheme="majorHAnsi" w:hAnsiTheme="majorHAnsi"/>
          <w:sz w:val="28"/>
          <w:szCs w:val="28"/>
        </w:rPr>
        <w:t>У березні 2008 р. ц</w:t>
      </w:r>
      <w:r w:rsidR="007756E4" w:rsidRPr="00200825">
        <w:rPr>
          <w:rFonts w:asciiTheme="majorHAnsi" w:hAnsiTheme="majorHAnsi"/>
          <w:sz w:val="28"/>
          <w:szCs w:val="28"/>
        </w:rPr>
        <w:t xml:space="preserve">і документи </w:t>
      </w:r>
      <w:r w:rsidR="00283B7D" w:rsidRPr="00200825">
        <w:rPr>
          <w:rFonts w:asciiTheme="majorHAnsi" w:hAnsiTheme="majorHAnsi"/>
          <w:sz w:val="28"/>
          <w:szCs w:val="28"/>
        </w:rPr>
        <w:t>обговорили</w:t>
      </w:r>
      <w:r w:rsidR="007756E4" w:rsidRPr="00200825">
        <w:rPr>
          <w:rFonts w:asciiTheme="majorHAnsi" w:hAnsiTheme="majorHAnsi"/>
          <w:sz w:val="28"/>
          <w:szCs w:val="28"/>
        </w:rPr>
        <w:t xml:space="preserve"> на зустрічі RMO/RAB.</w:t>
      </w:r>
    </w:p>
    <w:p w14:paraId="14E73FAB" w14:textId="77777777" w:rsidR="00BF06CC" w:rsidRPr="00200825" w:rsidRDefault="00BF06CC" w:rsidP="00BF06CC">
      <w:pPr>
        <w:spacing w:after="0"/>
        <w:jc w:val="both"/>
        <w:rPr>
          <w:rFonts w:asciiTheme="majorHAnsi" w:hAnsiTheme="majorHAnsi"/>
          <w:sz w:val="28"/>
          <w:szCs w:val="28"/>
        </w:rPr>
      </w:pPr>
    </w:p>
    <w:p w14:paraId="068241B1" w14:textId="77777777" w:rsidR="0076050D" w:rsidRPr="00200825" w:rsidRDefault="00C745F0" w:rsidP="00BA2C0E">
      <w:pPr>
        <w:pStyle w:val="a3"/>
        <w:numPr>
          <w:ilvl w:val="0"/>
          <w:numId w:val="9"/>
        </w:numPr>
        <w:spacing w:after="0"/>
        <w:jc w:val="both"/>
        <w:rPr>
          <w:rFonts w:asciiTheme="majorHAnsi" w:hAnsiTheme="majorHAnsi"/>
          <w:sz w:val="28"/>
          <w:szCs w:val="28"/>
        </w:rPr>
      </w:pPr>
      <w:r w:rsidRPr="00200825">
        <w:rPr>
          <w:rFonts w:asciiTheme="majorHAnsi" w:hAnsiTheme="majorHAnsi"/>
          <w:sz w:val="28"/>
          <w:szCs w:val="28"/>
        </w:rPr>
        <w:t>Визначення</w:t>
      </w:r>
      <w:r w:rsidR="0076050D" w:rsidRPr="00200825">
        <w:rPr>
          <w:rFonts w:asciiTheme="majorHAnsi" w:hAnsiTheme="majorHAnsi"/>
          <w:sz w:val="28"/>
          <w:szCs w:val="28"/>
        </w:rPr>
        <w:t>.</w:t>
      </w:r>
    </w:p>
    <w:p w14:paraId="4E1ECA1D" w14:textId="77777777" w:rsidR="0076050D" w:rsidRPr="00200825" w:rsidRDefault="0076050D" w:rsidP="0076050D">
      <w:pPr>
        <w:pStyle w:val="a3"/>
        <w:rPr>
          <w:rFonts w:asciiTheme="majorHAnsi" w:hAnsiTheme="majorHAnsi"/>
          <w:sz w:val="28"/>
          <w:szCs w:val="28"/>
        </w:rPr>
      </w:pPr>
    </w:p>
    <w:p w14:paraId="0E3C97D3" w14:textId="77777777" w:rsidR="003020D8" w:rsidRPr="00200825" w:rsidRDefault="0076050D" w:rsidP="0076050D">
      <w:pPr>
        <w:pStyle w:val="a3"/>
        <w:spacing w:after="0"/>
        <w:ind w:left="1080"/>
        <w:jc w:val="both"/>
        <w:rPr>
          <w:rFonts w:asciiTheme="majorHAnsi" w:hAnsiTheme="majorHAnsi"/>
          <w:sz w:val="28"/>
          <w:szCs w:val="28"/>
        </w:rPr>
      </w:pPr>
      <w:r w:rsidRPr="00200825">
        <w:rPr>
          <w:rFonts w:asciiTheme="majorHAnsi" w:hAnsiTheme="majorHAnsi"/>
          <w:sz w:val="28"/>
          <w:szCs w:val="28"/>
        </w:rPr>
        <w:t xml:space="preserve">У контексті CIPM MRA та Угоди ILAC, а також у зв’язку зі Загальною заявою CIPM-ILAC узгоджено наступне спільне визначення: </w:t>
      </w:r>
      <w:r w:rsidRPr="00200825">
        <w:rPr>
          <w:rFonts w:asciiTheme="majorHAnsi" w:hAnsiTheme="majorHAnsi"/>
          <w:b/>
          <w:i/>
          <w:sz w:val="28"/>
          <w:szCs w:val="28"/>
          <w:u w:val="single"/>
        </w:rPr>
        <w:t>CMC</w:t>
      </w:r>
      <w:r w:rsidR="00200825" w:rsidRPr="00200825">
        <w:rPr>
          <w:rFonts w:asciiTheme="majorHAnsi" w:hAnsiTheme="majorHAnsi"/>
          <w:sz w:val="28"/>
          <w:szCs w:val="28"/>
        </w:rPr>
        <w:t xml:space="preserve"> -</w:t>
      </w:r>
      <w:r w:rsidRPr="00200825">
        <w:rPr>
          <w:rFonts w:asciiTheme="majorHAnsi" w:hAnsiTheme="majorHAnsi"/>
          <w:sz w:val="28"/>
          <w:szCs w:val="28"/>
        </w:rPr>
        <w:t xml:space="preserve"> це калібрувальна та вимірювальна можливість</w:t>
      </w:r>
      <w:r w:rsidR="00E62F36" w:rsidRPr="00200825">
        <w:rPr>
          <w:rFonts w:asciiTheme="majorHAnsi" w:hAnsiTheme="majorHAnsi"/>
          <w:sz w:val="28"/>
          <w:szCs w:val="28"/>
        </w:rPr>
        <w:t>, доступна замовникам</w:t>
      </w:r>
      <w:r w:rsidRPr="00200825">
        <w:rPr>
          <w:rFonts w:asciiTheme="majorHAnsi" w:hAnsiTheme="majorHAnsi"/>
          <w:sz w:val="28"/>
          <w:szCs w:val="28"/>
        </w:rPr>
        <w:t xml:space="preserve"> за нормальних умов:</w:t>
      </w:r>
    </w:p>
    <w:p w14:paraId="45993299" w14:textId="77777777" w:rsidR="0076050D" w:rsidRPr="00200825" w:rsidRDefault="0076050D" w:rsidP="0076050D">
      <w:pPr>
        <w:pStyle w:val="a3"/>
        <w:spacing w:after="0"/>
        <w:ind w:left="1080"/>
        <w:jc w:val="both"/>
        <w:rPr>
          <w:rFonts w:asciiTheme="majorHAnsi" w:hAnsiTheme="majorHAnsi"/>
          <w:sz w:val="28"/>
          <w:szCs w:val="28"/>
        </w:rPr>
      </w:pPr>
      <w:r w:rsidRPr="00200825">
        <w:rPr>
          <w:rFonts w:asciiTheme="majorHAnsi" w:hAnsiTheme="majorHAnsi"/>
          <w:i/>
          <w:sz w:val="28"/>
          <w:szCs w:val="28"/>
        </w:rPr>
        <w:t>(a)</w:t>
      </w:r>
      <w:r w:rsidRPr="00200825">
        <w:rPr>
          <w:rFonts w:asciiTheme="majorHAnsi" w:hAnsiTheme="majorHAnsi"/>
          <w:sz w:val="28"/>
          <w:szCs w:val="28"/>
        </w:rPr>
        <w:t xml:space="preserve"> як опубліковано в базі даних ключових звірень BIPM (KCDB) CIPM MRA; або</w:t>
      </w:r>
    </w:p>
    <w:p w14:paraId="2136F339" w14:textId="77777777" w:rsidR="0076050D" w:rsidRPr="00200825" w:rsidRDefault="0076050D" w:rsidP="0076050D">
      <w:pPr>
        <w:pStyle w:val="a3"/>
        <w:spacing w:after="0"/>
        <w:ind w:left="1080"/>
        <w:jc w:val="both"/>
        <w:rPr>
          <w:rFonts w:asciiTheme="majorHAnsi" w:hAnsiTheme="majorHAnsi"/>
          <w:sz w:val="28"/>
          <w:szCs w:val="28"/>
        </w:rPr>
      </w:pPr>
      <w:r w:rsidRPr="00200825">
        <w:rPr>
          <w:rFonts w:asciiTheme="majorHAnsi" w:hAnsiTheme="majorHAnsi"/>
          <w:i/>
          <w:sz w:val="28"/>
          <w:szCs w:val="28"/>
        </w:rPr>
        <w:t>(b)</w:t>
      </w:r>
      <w:r w:rsidRPr="00200825">
        <w:rPr>
          <w:rFonts w:asciiTheme="majorHAnsi" w:hAnsiTheme="majorHAnsi"/>
          <w:sz w:val="28"/>
          <w:szCs w:val="28"/>
        </w:rPr>
        <w:t xml:space="preserve"> як описано в сфері </w:t>
      </w:r>
      <w:r w:rsidR="00E62F36" w:rsidRPr="00200825">
        <w:rPr>
          <w:rFonts w:asciiTheme="majorHAnsi" w:hAnsiTheme="majorHAnsi"/>
          <w:sz w:val="28"/>
          <w:szCs w:val="28"/>
        </w:rPr>
        <w:t>акредитації лабораторії, наданою</w:t>
      </w:r>
      <w:r w:rsidRPr="00200825">
        <w:rPr>
          <w:rFonts w:asciiTheme="majorHAnsi" w:hAnsiTheme="majorHAnsi"/>
          <w:sz w:val="28"/>
          <w:szCs w:val="28"/>
        </w:rPr>
        <w:t xml:space="preserve"> стор</w:t>
      </w:r>
      <w:r w:rsidR="00200825">
        <w:rPr>
          <w:rFonts w:asciiTheme="majorHAnsi" w:hAnsiTheme="majorHAnsi"/>
          <w:sz w:val="28"/>
          <w:szCs w:val="28"/>
        </w:rPr>
        <w:t>оною, яка підписала Угоду ILAC</w:t>
      </w:r>
      <w:r w:rsidRPr="00200825">
        <w:rPr>
          <w:rFonts w:asciiTheme="majorHAnsi" w:hAnsiTheme="majorHAnsi"/>
          <w:sz w:val="28"/>
          <w:szCs w:val="28"/>
        </w:rPr>
        <w:t>"</w:t>
      </w:r>
      <w:r w:rsidR="00200825">
        <w:rPr>
          <w:rFonts w:asciiTheme="majorHAnsi" w:hAnsiTheme="majorHAnsi"/>
          <w:sz w:val="28"/>
          <w:szCs w:val="28"/>
        </w:rPr>
        <w:t>.</w:t>
      </w:r>
    </w:p>
    <w:p w14:paraId="541D8ACD" w14:textId="77777777" w:rsidR="0076050D" w:rsidRPr="00200825" w:rsidRDefault="0076050D" w:rsidP="0076050D">
      <w:pPr>
        <w:pStyle w:val="a3"/>
        <w:spacing w:after="0"/>
        <w:ind w:left="1080"/>
        <w:jc w:val="both"/>
        <w:rPr>
          <w:rFonts w:asciiTheme="majorHAnsi" w:hAnsiTheme="majorHAnsi"/>
          <w:sz w:val="28"/>
          <w:szCs w:val="28"/>
        </w:rPr>
      </w:pPr>
    </w:p>
    <w:p w14:paraId="0C62C40D" w14:textId="77777777" w:rsidR="0006643F" w:rsidRPr="00200825" w:rsidRDefault="0076050D" w:rsidP="00E62F36">
      <w:pPr>
        <w:pStyle w:val="a3"/>
        <w:numPr>
          <w:ilvl w:val="0"/>
          <w:numId w:val="9"/>
        </w:numPr>
        <w:spacing w:after="0"/>
        <w:jc w:val="both"/>
        <w:rPr>
          <w:rFonts w:asciiTheme="majorHAnsi" w:hAnsiTheme="majorHAnsi"/>
          <w:sz w:val="28"/>
          <w:szCs w:val="28"/>
        </w:rPr>
      </w:pPr>
      <w:r w:rsidRPr="00200825">
        <w:rPr>
          <w:rFonts w:asciiTheme="majorHAnsi" w:hAnsiTheme="majorHAnsi"/>
          <w:sz w:val="28"/>
          <w:szCs w:val="28"/>
        </w:rPr>
        <w:t>Примітки, які супроводжують визначення, мають вирі</w:t>
      </w:r>
      <w:r w:rsidR="00354665" w:rsidRPr="00200825">
        <w:rPr>
          <w:rFonts w:asciiTheme="majorHAnsi" w:hAnsiTheme="majorHAnsi"/>
          <w:sz w:val="28"/>
          <w:szCs w:val="28"/>
        </w:rPr>
        <w:t>шальне значення та спрямовані роз’яснювати питання</w:t>
      </w:r>
      <w:r w:rsidRPr="00200825">
        <w:rPr>
          <w:rFonts w:asciiTheme="majorHAnsi" w:hAnsiTheme="majorHAnsi"/>
          <w:sz w:val="28"/>
          <w:szCs w:val="28"/>
        </w:rPr>
        <w:t xml:space="preserve">, які мають безпосереднє відношення до </w:t>
      </w:r>
      <w:r w:rsidR="00ED6516" w:rsidRPr="00200825">
        <w:rPr>
          <w:rFonts w:asciiTheme="majorHAnsi" w:hAnsiTheme="majorHAnsi"/>
          <w:sz w:val="28"/>
          <w:szCs w:val="28"/>
        </w:rPr>
        <w:t>визначення</w:t>
      </w:r>
      <w:r w:rsidRPr="00200825">
        <w:rPr>
          <w:rFonts w:asciiTheme="majorHAnsi" w:hAnsiTheme="majorHAnsi"/>
          <w:sz w:val="28"/>
          <w:szCs w:val="28"/>
        </w:rPr>
        <w:t>.</w:t>
      </w:r>
      <w:r w:rsidR="00A15D66" w:rsidRPr="00200825">
        <w:rPr>
          <w:rFonts w:asciiTheme="majorHAnsi" w:hAnsiTheme="majorHAnsi"/>
          <w:sz w:val="28"/>
          <w:szCs w:val="28"/>
        </w:rPr>
        <w:t xml:space="preserve"> Вони не претендують на те, щоб охопити всі значення або вирішити пов’язані з цим питання. Однак вони можуть бути доопрацьовані або в поточному проєкті політики ILAC для оцінки </w:t>
      </w:r>
      <w:r w:rsidR="00B76F2C">
        <w:rPr>
          <w:rFonts w:asciiTheme="majorHAnsi" w:hAnsiTheme="majorHAnsi"/>
          <w:sz w:val="28"/>
          <w:szCs w:val="28"/>
        </w:rPr>
        <w:t>непевності</w:t>
      </w:r>
      <w:r w:rsidR="0006643F" w:rsidRPr="00200825">
        <w:rPr>
          <w:rFonts w:asciiTheme="majorHAnsi" w:hAnsiTheme="majorHAnsi"/>
          <w:sz w:val="28"/>
          <w:szCs w:val="28"/>
        </w:rPr>
        <w:t xml:space="preserve"> калібрування, або в будь-як</w:t>
      </w:r>
      <w:r w:rsidR="00A15D66" w:rsidRPr="00200825">
        <w:rPr>
          <w:rFonts w:asciiTheme="majorHAnsi" w:hAnsiTheme="majorHAnsi"/>
          <w:sz w:val="28"/>
          <w:szCs w:val="28"/>
        </w:rPr>
        <w:t>і</w:t>
      </w:r>
      <w:r w:rsidR="0006643F" w:rsidRPr="00200825">
        <w:rPr>
          <w:rFonts w:asciiTheme="majorHAnsi" w:hAnsiTheme="majorHAnsi"/>
          <w:sz w:val="28"/>
          <w:szCs w:val="28"/>
        </w:rPr>
        <w:t>й настанові, яку</w:t>
      </w:r>
      <w:r w:rsidR="00A15D66" w:rsidRPr="00200825">
        <w:rPr>
          <w:rFonts w:asciiTheme="majorHAnsi" w:hAnsiTheme="majorHAnsi"/>
          <w:sz w:val="28"/>
          <w:szCs w:val="28"/>
        </w:rPr>
        <w:t xml:space="preserve"> згодом</w:t>
      </w:r>
      <w:r w:rsidR="0006643F" w:rsidRPr="00200825">
        <w:rPr>
          <w:rFonts w:asciiTheme="majorHAnsi" w:hAnsiTheme="majorHAnsi"/>
          <w:sz w:val="28"/>
          <w:szCs w:val="28"/>
        </w:rPr>
        <w:t xml:space="preserve"> розробить JCRB</w:t>
      </w:r>
      <w:r w:rsidR="00A15D66" w:rsidRPr="00200825">
        <w:rPr>
          <w:rFonts w:asciiTheme="majorHAnsi" w:hAnsiTheme="majorHAnsi"/>
          <w:sz w:val="28"/>
          <w:szCs w:val="28"/>
        </w:rPr>
        <w:t xml:space="preserve"> для за</w:t>
      </w:r>
      <w:r w:rsidR="00EA5F3E" w:rsidRPr="00200825">
        <w:rPr>
          <w:rFonts w:asciiTheme="majorHAnsi" w:hAnsiTheme="majorHAnsi"/>
          <w:sz w:val="28"/>
          <w:szCs w:val="28"/>
        </w:rPr>
        <w:t>твердження</w:t>
      </w:r>
      <w:r w:rsidR="00A15D66" w:rsidRPr="00200825">
        <w:rPr>
          <w:rFonts w:asciiTheme="majorHAnsi" w:hAnsiTheme="majorHAnsi"/>
          <w:sz w:val="28"/>
          <w:szCs w:val="28"/>
        </w:rPr>
        <w:t xml:space="preserve"> CIPM.</w:t>
      </w:r>
    </w:p>
    <w:p w14:paraId="4407D793" w14:textId="77777777" w:rsidR="0006643F" w:rsidRPr="00200825" w:rsidRDefault="0006643F" w:rsidP="00B35C99">
      <w:pPr>
        <w:spacing w:after="0"/>
        <w:ind w:left="720"/>
        <w:jc w:val="both"/>
        <w:rPr>
          <w:rFonts w:asciiTheme="majorHAnsi" w:hAnsiTheme="majorHAnsi"/>
          <w:sz w:val="28"/>
          <w:szCs w:val="28"/>
        </w:rPr>
      </w:pPr>
    </w:p>
    <w:p w14:paraId="7BE60CB9" w14:textId="77777777" w:rsidR="00B35C99" w:rsidRPr="00200825" w:rsidRDefault="00B35C99" w:rsidP="00B35C99">
      <w:pPr>
        <w:spacing w:after="0"/>
        <w:ind w:left="720"/>
        <w:jc w:val="both"/>
        <w:rPr>
          <w:rFonts w:asciiTheme="majorHAnsi" w:hAnsiTheme="majorHAnsi"/>
          <w:b/>
          <w:sz w:val="28"/>
          <w:szCs w:val="28"/>
        </w:rPr>
      </w:pPr>
      <w:r w:rsidRPr="00200825">
        <w:rPr>
          <w:rFonts w:asciiTheme="majorHAnsi" w:hAnsiTheme="majorHAnsi"/>
          <w:b/>
          <w:sz w:val="28"/>
          <w:szCs w:val="28"/>
        </w:rPr>
        <w:t>ПРИМІТКИ</w:t>
      </w:r>
    </w:p>
    <w:p w14:paraId="43830BBE" w14:textId="77777777" w:rsidR="00B35C99" w:rsidRPr="00200825" w:rsidRDefault="00B35C99" w:rsidP="00B35C99">
      <w:pPr>
        <w:spacing w:after="0"/>
        <w:ind w:left="720"/>
        <w:jc w:val="both"/>
        <w:rPr>
          <w:rFonts w:asciiTheme="majorHAnsi" w:hAnsiTheme="majorHAnsi"/>
          <w:sz w:val="28"/>
          <w:szCs w:val="28"/>
        </w:rPr>
      </w:pPr>
    </w:p>
    <w:p w14:paraId="15665FA7" w14:textId="77777777" w:rsidR="00B35C99" w:rsidRPr="00200825" w:rsidRDefault="00B35C99" w:rsidP="00B35C99">
      <w:pPr>
        <w:spacing w:after="0"/>
        <w:ind w:left="720"/>
        <w:jc w:val="both"/>
        <w:rPr>
          <w:rFonts w:asciiTheme="majorHAnsi" w:hAnsiTheme="majorHAnsi"/>
          <w:sz w:val="28"/>
          <w:szCs w:val="28"/>
        </w:rPr>
      </w:pPr>
      <w:r w:rsidRPr="00200825">
        <w:rPr>
          <w:rFonts w:asciiTheme="majorHAnsi" w:hAnsiTheme="majorHAnsi"/>
          <w:b/>
          <w:sz w:val="28"/>
          <w:szCs w:val="28"/>
        </w:rPr>
        <w:t>N1</w:t>
      </w:r>
      <w:r w:rsidRPr="00200825">
        <w:rPr>
          <w:rFonts w:asciiTheme="majorHAnsi" w:hAnsiTheme="majorHAnsi"/>
          <w:sz w:val="28"/>
          <w:szCs w:val="28"/>
        </w:rPr>
        <w:t xml:space="preserve"> </w:t>
      </w:r>
      <w:r w:rsidR="003426D4" w:rsidRPr="00200825">
        <w:rPr>
          <w:rFonts w:asciiTheme="majorHAnsi" w:hAnsiTheme="majorHAnsi"/>
          <w:sz w:val="28"/>
          <w:szCs w:val="28"/>
        </w:rPr>
        <w:t>Значення термінів «Калібрувальна</w:t>
      </w:r>
      <w:r w:rsidRPr="00200825">
        <w:rPr>
          <w:rFonts w:asciiTheme="majorHAnsi" w:hAnsiTheme="majorHAnsi"/>
          <w:sz w:val="28"/>
          <w:szCs w:val="28"/>
        </w:rPr>
        <w:t xml:space="preserve"> та вимірювальна </w:t>
      </w:r>
      <w:r w:rsidR="003426D4" w:rsidRPr="00200825">
        <w:rPr>
          <w:rFonts w:asciiTheme="majorHAnsi" w:hAnsiTheme="majorHAnsi"/>
          <w:sz w:val="28"/>
          <w:szCs w:val="28"/>
        </w:rPr>
        <w:t>можливість</w:t>
      </w:r>
      <w:r w:rsidRPr="00200825">
        <w:rPr>
          <w:rFonts w:asciiTheme="majorHAnsi" w:hAnsiTheme="majorHAnsi"/>
          <w:sz w:val="28"/>
          <w:szCs w:val="28"/>
        </w:rPr>
        <w:t>» (CMC) (як використано в CIPM</w:t>
      </w:r>
      <w:r w:rsidR="003426D4" w:rsidRPr="00200825">
        <w:rPr>
          <w:rFonts w:asciiTheme="majorHAnsi" w:hAnsiTheme="majorHAnsi"/>
          <w:sz w:val="28"/>
          <w:szCs w:val="28"/>
        </w:rPr>
        <w:t xml:space="preserve"> MRA) і «Найкраща вимірювальна можливість» (BMC) (що</w:t>
      </w:r>
      <w:r w:rsidRPr="00200825">
        <w:rPr>
          <w:rFonts w:asciiTheme="majorHAnsi" w:hAnsiTheme="majorHAnsi"/>
          <w:sz w:val="28"/>
          <w:szCs w:val="28"/>
        </w:rPr>
        <w:t xml:space="preserve"> історично використовува</w:t>
      </w:r>
      <w:r w:rsidR="003426D4" w:rsidRPr="00200825">
        <w:rPr>
          <w:rFonts w:asciiTheme="majorHAnsi" w:hAnsiTheme="majorHAnsi"/>
          <w:sz w:val="28"/>
          <w:szCs w:val="28"/>
        </w:rPr>
        <w:t>ли</w:t>
      </w:r>
      <w:r w:rsidRPr="00200825">
        <w:rPr>
          <w:rFonts w:asciiTheme="majorHAnsi" w:hAnsiTheme="majorHAnsi"/>
          <w:sz w:val="28"/>
          <w:szCs w:val="28"/>
        </w:rPr>
        <w:t xml:space="preserve"> у зв’язку з </w:t>
      </w:r>
      <w:r w:rsidR="00B76F2C">
        <w:rPr>
          <w:rFonts w:asciiTheme="majorHAnsi" w:hAnsiTheme="majorHAnsi"/>
          <w:sz w:val="28"/>
          <w:szCs w:val="28"/>
        </w:rPr>
        <w:t>непевністю</w:t>
      </w:r>
      <w:r w:rsidRPr="00200825">
        <w:rPr>
          <w:rFonts w:asciiTheme="majorHAnsi" w:hAnsiTheme="majorHAnsi"/>
          <w:sz w:val="28"/>
          <w:szCs w:val="28"/>
        </w:rPr>
        <w:t xml:space="preserve">, зазначеною в </w:t>
      </w:r>
      <w:r w:rsidR="00C95AB5" w:rsidRPr="00200825">
        <w:rPr>
          <w:rFonts w:asciiTheme="majorHAnsi" w:hAnsiTheme="majorHAnsi"/>
          <w:sz w:val="28"/>
          <w:szCs w:val="28"/>
        </w:rPr>
        <w:t>сфері</w:t>
      </w:r>
      <w:r w:rsidRPr="00200825">
        <w:rPr>
          <w:rFonts w:asciiTheme="majorHAnsi" w:hAnsiTheme="majorHAnsi"/>
          <w:sz w:val="28"/>
          <w:szCs w:val="28"/>
        </w:rPr>
        <w:t xml:space="preserve"> </w:t>
      </w:r>
      <w:r w:rsidRPr="00200825">
        <w:rPr>
          <w:rFonts w:asciiTheme="majorHAnsi" w:hAnsiTheme="majorHAnsi"/>
          <w:sz w:val="28"/>
          <w:szCs w:val="28"/>
        </w:rPr>
        <w:lastRenderedPageBreak/>
        <w:t>діяльності акредитованої лабораторії) є ідентичними.</w:t>
      </w:r>
      <w:r w:rsidR="00C95AB5" w:rsidRPr="00200825">
        <w:rPr>
          <w:rFonts w:asciiTheme="majorHAnsi" w:hAnsiTheme="majorHAnsi"/>
          <w:sz w:val="28"/>
          <w:szCs w:val="28"/>
        </w:rPr>
        <w:t xml:space="preserve"> Терміни BMC і CMC необхідно тлумачити однаково та послідовно в нинішніх сферах застосування.</w:t>
      </w:r>
    </w:p>
    <w:p w14:paraId="1370452A" w14:textId="77777777" w:rsidR="00C95AB5" w:rsidRPr="00200825" w:rsidRDefault="00C95AB5" w:rsidP="00B35C99">
      <w:pPr>
        <w:spacing w:after="0"/>
        <w:ind w:left="720"/>
        <w:jc w:val="both"/>
        <w:rPr>
          <w:rFonts w:asciiTheme="majorHAnsi" w:hAnsiTheme="majorHAnsi"/>
          <w:sz w:val="28"/>
          <w:szCs w:val="28"/>
        </w:rPr>
      </w:pPr>
    </w:p>
    <w:p w14:paraId="551A1846" w14:textId="77777777" w:rsidR="00B35C99" w:rsidRPr="00200825" w:rsidRDefault="00B35C99" w:rsidP="00B35C99">
      <w:pPr>
        <w:spacing w:after="0"/>
        <w:ind w:left="720"/>
        <w:jc w:val="both"/>
        <w:rPr>
          <w:rFonts w:asciiTheme="majorHAnsi" w:hAnsiTheme="majorHAnsi"/>
          <w:sz w:val="28"/>
          <w:szCs w:val="28"/>
        </w:rPr>
      </w:pPr>
      <w:r w:rsidRPr="00200825">
        <w:rPr>
          <w:rFonts w:asciiTheme="majorHAnsi" w:hAnsiTheme="majorHAnsi"/>
          <w:b/>
          <w:sz w:val="28"/>
          <w:szCs w:val="28"/>
        </w:rPr>
        <w:t>N2</w:t>
      </w:r>
      <w:r w:rsidR="00C95AB5" w:rsidRPr="00200825">
        <w:rPr>
          <w:rFonts w:asciiTheme="majorHAnsi" w:hAnsiTheme="majorHAnsi"/>
          <w:b/>
          <w:sz w:val="28"/>
          <w:szCs w:val="28"/>
        </w:rPr>
        <w:t xml:space="preserve"> </w:t>
      </w:r>
      <w:r w:rsidR="00C95AB5" w:rsidRPr="00200825">
        <w:rPr>
          <w:rFonts w:asciiTheme="majorHAnsi" w:hAnsiTheme="majorHAnsi"/>
          <w:sz w:val="28"/>
          <w:szCs w:val="28"/>
        </w:rPr>
        <w:t>Відповідно до CMC, вимірювання або калібрування має бути:</w:t>
      </w:r>
    </w:p>
    <w:p w14:paraId="65222239" w14:textId="77777777" w:rsidR="00C95AB5" w:rsidRPr="00200825" w:rsidRDefault="00C95AB5" w:rsidP="00B35C99">
      <w:pPr>
        <w:spacing w:after="0"/>
        <w:ind w:left="720"/>
        <w:jc w:val="both"/>
        <w:rPr>
          <w:rFonts w:asciiTheme="majorHAnsi" w:hAnsiTheme="majorHAnsi"/>
          <w:sz w:val="28"/>
          <w:szCs w:val="28"/>
        </w:rPr>
      </w:pPr>
    </w:p>
    <w:p w14:paraId="6987DB04" w14:textId="77777777" w:rsidR="00C95AB5" w:rsidRPr="00200825" w:rsidRDefault="005139A5" w:rsidP="00C95AB5">
      <w:pPr>
        <w:pStyle w:val="a3"/>
        <w:numPr>
          <w:ilvl w:val="0"/>
          <w:numId w:val="7"/>
        </w:numPr>
        <w:spacing w:after="0"/>
        <w:jc w:val="both"/>
        <w:rPr>
          <w:rFonts w:asciiTheme="majorHAnsi" w:hAnsiTheme="majorHAnsi"/>
          <w:sz w:val="28"/>
          <w:szCs w:val="28"/>
        </w:rPr>
      </w:pPr>
      <w:r w:rsidRPr="00200825">
        <w:rPr>
          <w:rFonts w:asciiTheme="majorHAnsi" w:hAnsiTheme="majorHAnsi"/>
          <w:sz w:val="28"/>
          <w:szCs w:val="28"/>
        </w:rPr>
        <w:t>проведене</w:t>
      </w:r>
      <w:r w:rsidR="00C95AB5" w:rsidRPr="00200825">
        <w:rPr>
          <w:rFonts w:asciiTheme="majorHAnsi" w:hAnsiTheme="majorHAnsi"/>
          <w:sz w:val="28"/>
          <w:szCs w:val="28"/>
        </w:rPr>
        <w:t xml:space="preserve"> відповідно до зад</w:t>
      </w:r>
      <w:r w:rsidRPr="00200825">
        <w:rPr>
          <w:rFonts w:asciiTheme="majorHAnsi" w:hAnsiTheme="majorHAnsi"/>
          <w:sz w:val="28"/>
          <w:szCs w:val="28"/>
        </w:rPr>
        <w:t>окументованої процедури та має</w:t>
      </w:r>
      <w:r w:rsidR="00C95AB5" w:rsidRPr="00200825">
        <w:rPr>
          <w:rFonts w:asciiTheme="majorHAnsi" w:hAnsiTheme="majorHAnsi"/>
          <w:sz w:val="28"/>
          <w:szCs w:val="28"/>
        </w:rPr>
        <w:t xml:space="preserve"> встановлений бюджет </w:t>
      </w:r>
      <w:r w:rsidR="004363A3">
        <w:rPr>
          <w:rFonts w:asciiTheme="majorHAnsi" w:hAnsiTheme="majorHAnsi"/>
          <w:sz w:val="28"/>
          <w:szCs w:val="28"/>
        </w:rPr>
        <w:t>непевності</w:t>
      </w:r>
      <w:r w:rsidR="00CD6724" w:rsidRPr="00200825">
        <w:rPr>
          <w:rFonts w:asciiTheme="majorHAnsi" w:hAnsiTheme="majorHAnsi"/>
          <w:sz w:val="28"/>
          <w:szCs w:val="28"/>
        </w:rPr>
        <w:t xml:space="preserve"> під системою управління</w:t>
      </w:r>
      <w:r w:rsidR="00CD6724" w:rsidRPr="00200825">
        <w:rPr>
          <w:rFonts w:asciiTheme="majorHAnsi" w:hAnsiTheme="majorHAnsi"/>
          <w:sz w:val="28"/>
          <w:szCs w:val="28"/>
          <w:lang w:val="ru-RU"/>
        </w:rPr>
        <w:t xml:space="preserve"> </w:t>
      </w:r>
      <w:r w:rsidR="00CD6724" w:rsidRPr="00200825">
        <w:rPr>
          <w:rFonts w:asciiTheme="majorHAnsi" w:hAnsiTheme="majorHAnsi"/>
          <w:sz w:val="28"/>
          <w:szCs w:val="28"/>
          <w:lang w:val="en-US"/>
        </w:rPr>
        <w:t>NMI</w:t>
      </w:r>
      <w:r w:rsidR="00C95AB5" w:rsidRPr="00200825">
        <w:rPr>
          <w:rFonts w:asciiTheme="majorHAnsi" w:hAnsiTheme="majorHAnsi"/>
          <w:sz w:val="28"/>
          <w:szCs w:val="28"/>
        </w:rPr>
        <w:t xml:space="preserve"> або акредитованої лабораторії;</w:t>
      </w:r>
    </w:p>
    <w:p w14:paraId="1BEA2164" w14:textId="77777777" w:rsidR="005139A5" w:rsidRPr="00200825" w:rsidRDefault="005139A5" w:rsidP="005139A5">
      <w:pPr>
        <w:pStyle w:val="a3"/>
        <w:numPr>
          <w:ilvl w:val="0"/>
          <w:numId w:val="7"/>
        </w:numPr>
        <w:spacing w:after="0"/>
        <w:jc w:val="both"/>
        <w:rPr>
          <w:rFonts w:asciiTheme="majorHAnsi" w:hAnsiTheme="majorHAnsi"/>
          <w:sz w:val="28"/>
          <w:szCs w:val="28"/>
        </w:rPr>
      </w:pPr>
      <w:r w:rsidRPr="00200825">
        <w:rPr>
          <w:rFonts w:asciiTheme="majorHAnsi" w:hAnsiTheme="majorHAnsi"/>
          <w:sz w:val="28"/>
          <w:szCs w:val="28"/>
        </w:rPr>
        <w:t xml:space="preserve">проведене на регулярній основі (зокрема, на вимогу або </w:t>
      </w:r>
      <w:r w:rsidR="009701A4" w:rsidRPr="00200825">
        <w:rPr>
          <w:rFonts w:asciiTheme="majorHAnsi" w:hAnsiTheme="majorHAnsi"/>
          <w:sz w:val="28"/>
          <w:szCs w:val="28"/>
        </w:rPr>
        <w:t xml:space="preserve">для зручності </w:t>
      </w:r>
      <w:r w:rsidRPr="00200825">
        <w:rPr>
          <w:rFonts w:asciiTheme="majorHAnsi" w:hAnsiTheme="majorHAnsi"/>
          <w:sz w:val="28"/>
          <w:szCs w:val="28"/>
        </w:rPr>
        <w:t>заплановано на певний час року); і</w:t>
      </w:r>
    </w:p>
    <w:p w14:paraId="000FB340" w14:textId="77777777" w:rsidR="005139A5" w:rsidRPr="00200825" w:rsidRDefault="005139A5" w:rsidP="005139A5">
      <w:pPr>
        <w:pStyle w:val="a3"/>
        <w:numPr>
          <w:ilvl w:val="0"/>
          <w:numId w:val="7"/>
        </w:numPr>
        <w:spacing w:after="0"/>
        <w:jc w:val="both"/>
        <w:rPr>
          <w:rFonts w:asciiTheme="majorHAnsi" w:hAnsiTheme="majorHAnsi"/>
          <w:sz w:val="28"/>
          <w:szCs w:val="28"/>
        </w:rPr>
      </w:pPr>
      <w:r w:rsidRPr="00200825">
        <w:rPr>
          <w:rFonts w:asciiTheme="majorHAnsi" w:hAnsiTheme="majorHAnsi"/>
          <w:sz w:val="28"/>
          <w:szCs w:val="28"/>
        </w:rPr>
        <w:t xml:space="preserve">доступним для всіх </w:t>
      </w:r>
      <w:r w:rsidR="00CD6724" w:rsidRPr="00200825">
        <w:rPr>
          <w:rFonts w:asciiTheme="majorHAnsi" w:hAnsiTheme="majorHAnsi"/>
          <w:sz w:val="28"/>
          <w:szCs w:val="28"/>
        </w:rPr>
        <w:t>замовників</w:t>
      </w:r>
      <w:r w:rsidRPr="00200825">
        <w:rPr>
          <w:rFonts w:asciiTheme="majorHAnsi" w:hAnsiTheme="majorHAnsi"/>
          <w:sz w:val="28"/>
          <w:szCs w:val="28"/>
        </w:rPr>
        <w:t>.</w:t>
      </w:r>
    </w:p>
    <w:p w14:paraId="755C6162" w14:textId="77777777" w:rsidR="00C95AB5" w:rsidRPr="00200825" w:rsidRDefault="00C95AB5" w:rsidP="005139A5">
      <w:pPr>
        <w:spacing w:after="0"/>
        <w:jc w:val="both"/>
        <w:rPr>
          <w:rFonts w:asciiTheme="majorHAnsi" w:hAnsiTheme="majorHAnsi"/>
          <w:b/>
          <w:sz w:val="28"/>
          <w:szCs w:val="28"/>
        </w:rPr>
      </w:pPr>
    </w:p>
    <w:p w14:paraId="7410E336" w14:textId="77777777" w:rsidR="0092575E" w:rsidRPr="00200825" w:rsidRDefault="00B35C99" w:rsidP="00917FEC">
      <w:pPr>
        <w:spacing w:after="0"/>
        <w:ind w:left="720"/>
        <w:jc w:val="both"/>
        <w:rPr>
          <w:rFonts w:asciiTheme="majorHAnsi" w:hAnsiTheme="majorHAnsi"/>
          <w:sz w:val="28"/>
          <w:szCs w:val="28"/>
        </w:rPr>
      </w:pPr>
      <w:r w:rsidRPr="00200825">
        <w:rPr>
          <w:rFonts w:asciiTheme="majorHAnsi" w:hAnsiTheme="majorHAnsi"/>
          <w:b/>
          <w:sz w:val="28"/>
          <w:szCs w:val="28"/>
        </w:rPr>
        <w:t>N3</w:t>
      </w:r>
      <w:r w:rsidR="005139A5" w:rsidRPr="00200825">
        <w:rPr>
          <w:rFonts w:asciiTheme="majorHAnsi" w:hAnsiTheme="majorHAnsi"/>
          <w:b/>
          <w:sz w:val="28"/>
          <w:szCs w:val="28"/>
        </w:rPr>
        <w:t xml:space="preserve"> </w:t>
      </w:r>
      <w:r w:rsidR="00C87CB6">
        <w:rPr>
          <w:rFonts w:asciiTheme="majorHAnsi" w:hAnsiTheme="majorHAnsi"/>
          <w:sz w:val="28"/>
          <w:szCs w:val="28"/>
        </w:rPr>
        <w:t>Визнають здатність</w:t>
      </w:r>
      <w:r w:rsidR="00285067" w:rsidRPr="00200825">
        <w:rPr>
          <w:rFonts w:asciiTheme="majorHAnsi" w:hAnsiTheme="majorHAnsi"/>
          <w:sz w:val="28"/>
          <w:szCs w:val="28"/>
        </w:rPr>
        <w:t xml:space="preserve"> деяких</w:t>
      </w:r>
      <w:r w:rsidR="005139A5" w:rsidRPr="00200825">
        <w:rPr>
          <w:rFonts w:asciiTheme="majorHAnsi" w:hAnsiTheme="majorHAnsi"/>
          <w:sz w:val="28"/>
          <w:szCs w:val="28"/>
        </w:rPr>
        <w:t xml:space="preserve"> </w:t>
      </w:r>
      <w:r w:rsidR="00917FEC" w:rsidRPr="00200825">
        <w:rPr>
          <w:rFonts w:asciiTheme="majorHAnsi" w:hAnsiTheme="majorHAnsi"/>
          <w:sz w:val="28"/>
          <w:szCs w:val="28"/>
        </w:rPr>
        <w:t xml:space="preserve">NMIs </w:t>
      </w:r>
      <w:r w:rsidR="009701A4">
        <w:rPr>
          <w:rFonts w:asciiTheme="majorHAnsi" w:hAnsiTheme="majorHAnsi"/>
          <w:sz w:val="28"/>
          <w:szCs w:val="28"/>
        </w:rPr>
        <w:t>пропонувати</w:t>
      </w:r>
      <w:r w:rsidR="00285067" w:rsidRPr="00200825">
        <w:rPr>
          <w:rFonts w:asciiTheme="majorHAnsi" w:hAnsiTheme="majorHAnsi"/>
          <w:sz w:val="28"/>
          <w:szCs w:val="28"/>
        </w:rPr>
        <w:t xml:space="preserve"> «С</w:t>
      </w:r>
      <w:r w:rsidR="005139A5" w:rsidRPr="00200825">
        <w:rPr>
          <w:rFonts w:asciiTheme="majorHAnsi" w:hAnsiTheme="majorHAnsi"/>
          <w:sz w:val="28"/>
          <w:szCs w:val="28"/>
        </w:rPr>
        <w:t xml:space="preserve">пеціальні» калібрування з винятково низькими </w:t>
      </w:r>
      <w:proofErr w:type="spellStart"/>
      <w:r w:rsidR="004363A3">
        <w:rPr>
          <w:rFonts w:asciiTheme="majorHAnsi" w:hAnsiTheme="majorHAnsi"/>
          <w:sz w:val="28"/>
          <w:szCs w:val="28"/>
        </w:rPr>
        <w:t>непевностями</w:t>
      </w:r>
      <w:proofErr w:type="spellEnd"/>
      <w:r w:rsidR="005139A5" w:rsidRPr="00200825">
        <w:rPr>
          <w:rFonts w:asciiTheme="majorHAnsi" w:hAnsiTheme="majorHAnsi"/>
          <w:sz w:val="28"/>
          <w:szCs w:val="28"/>
        </w:rPr>
        <w:t>, які не є «</w:t>
      </w:r>
      <w:r w:rsidR="00917FEC" w:rsidRPr="00200825">
        <w:rPr>
          <w:rFonts w:asciiTheme="majorHAnsi" w:hAnsiTheme="majorHAnsi"/>
          <w:sz w:val="28"/>
          <w:szCs w:val="28"/>
        </w:rPr>
        <w:t>в нормальних</w:t>
      </w:r>
      <w:r w:rsidR="005139A5" w:rsidRPr="00200825">
        <w:rPr>
          <w:rFonts w:asciiTheme="majorHAnsi" w:hAnsiTheme="majorHAnsi"/>
          <w:sz w:val="28"/>
          <w:szCs w:val="28"/>
        </w:rPr>
        <w:t xml:space="preserve"> ум</w:t>
      </w:r>
      <w:r w:rsidR="00917FEC" w:rsidRPr="00200825">
        <w:rPr>
          <w:rFonts w:asciiTheme="majorHAnsi" w:hAnsiTheme="majorHAnsi"/>
          <w:sz w:val="28"/>
          <w:szCs w:val="28"/>
        </w:rPr>
        <w:t>ов</w:t>
      </w:r>
      <w:r w:rsidR="009701A4">
        <w:rPr>
          <w:rFonts w:asciiTheme="majorHAnsi" w:hAnsiTheme="majorHAnsi"/>
          <w:sz w:val="28"/>
          <w:szCs w:val="28"/>
        </w:rPr>
        <w:t>ах</w:t>
      </w:r>
      <w:r w:rsidR="00917FEC" w:rsidRPr="00200825">
        <w:rPr>
          <w:rFonts w:asciiTheme="majorHAnsi" w:hAnsiTheme="majorHAnsi"/>
          <w:sz w:val="28"/>
          <w:szCs w:val="28"/>
        </w:rPr>
        <w:t>», і які</w:t>
      </w:r>
      <w:r w:rsidR="00C87CB6">
        <w:rPr>
          <w:rFonts w:asciiTheme="majorHAnsi" w:hAnsiTheme="majorHAnsi"/>
          <w:sz w:val="28"/>
          <w:szCs w:val="28"/>
        </w:rPr>
        <w:t>,</w:t>
      </w:r>
      <w:r w:rsidR="00917FEC" w:rsidRPr="00200825">
        <w:rPr>
          <w:rFonts w:asciiTheme="majorHAnsi" w:hAnsiTheme="majorHAnsi"/>
          <w:sz w:val="28"/>
          <w:szCs w:val="28"/>
        </w:rPr>
        <w:t xml:space="preserve"> зазвичай</w:t>
      </w:r>
      <w:r w:rsidR="00C87CB6">
        <w:rPr>
          <w:rFonts w:asciiTheme="majorHAnsi" w:hAnsiTheme="majorHAnsi"/>
          <w:sz w:val="28"/>
          <w:szCs w:val="28"/>
        </w:rPr>
        <w:t>,</w:t>
      </w:r>
      <w:r w:rsidR="00917FEC" w:rsidRPr="00200825">
        <w:rPr>
          <w:rFonts w:asciiTheme="majorHAnsi" w:hAnsiTheme="majorHAnsi"/>
          <w:sz w:val="28"/>
          <w:szCs w:val="28"/>
        </w:rPr>
        <w:t xml:space="preserve"> пропонують</w:t>
      </w:r>
      <w:r w:rsidR="005139A5" w:rsidRPr="00200825">
        <w:rPr>
          <w:rFonts w:asciiTheme="majorHAnsi" w:hAnsiTheme="majorHAnsi"/>
          <w:sz w:val="28"/>
          <w:szCs w:val="28"/>
        </w:rPr>
        <w:t xml:space="preserve"> лише невеликій підгрупі </w:t>
      </w:r>
      <w:r w:rsidR="00171997" w:rsidRPr="00200825">
        <w:rPr>
          <w:rFonts w:asciiTheme="majorHAnsi" w:hAnsiTheme="majorHAnsi"/>
          <w:sz w:val="28"/>
          <w:szCs w:val="28"/>
        </w:rPr>
        <w:t>замовників</w:t>
      </w:r>
      <w:r w:rsidR="005139A5" w:rsidRPr="00200825">
        <w:rPr>
          <w:rFonts w:asciiTheme="majorHAnsi" w:hAnsiTheme="majorHAnsi"/>
          <w:sz w:val="28"/>
          <w:szCs w:val="28"/>
        </w:rPr>
        <w:t xml:space="preserve"> </w:t>
      </w:r>
      <w:r w:rsidR="00917FEC" w:rsidRPr="00200825">
        <w:rPr>
          <w:rFonts w:asciiTheme="majorHAnsi" w:hAnsiTheme="majorHAnsi"/>
          <w:sz w:val="28"/>
          <w:szCs w:val="28"/>
        </w:rPr>
        <w:t>NMIs</w:t>
      </w:r>
      <w:r w:rsidR="005139A5" w:rsidRPr="00200825">
        <w:rPr>
          <w:rFonts w:asciiTheme="majorHAnsi" w:hAnsiTheme="majorHAnsi"/>
          <w:sz w:val="28"/>
          <w:szCs w:val="28"/>
        </w:rPr>
        <w:t xml:space="preserve"> для досліджень або </w:t>
      </w:r>
      <w:r w:rsidR="009701A4">
        <w:rPr>
          <w:rFonts w:asciiTheme="majorHAnsi" w:hAnsiTheme="majorHAnsi"/>
          <w:sz w:val="28"/>
          <w:szCs w:val="28"/>
        </w:rPr>
        <w:t xml:space="preserve">з </w:t>
      </w:r>
      <w:r w:rsidR="00C87CB6">
        <w:rPr>
          <w:rFonts w:asciiTheme="majorHAnsi" w:hAnsiTheme="majorHAnsi"/>
          <w:sz w:val="28"/>
          <w:szCs w:val="28"/>
        </w:rPr>
        <w:t>причин національної політики</w:t>
      </w:r>
      <w:r w:rsidR="005139A5" w:rsidRPr="00200825">
        <w:rPr>
          <w:rFonts w:asciiTheme="majorHAnsi" w:hAnsiTheme="majorHAnsi"/>
          <w:sz w:val="28"/>
          <w:szCs w:val="28"/>
        </w:rPr>
        <w:t>.</w:t>
      </w:r>
      <w:r w:rsidR="00917FEC" w:rsidRPr="00200825">
        <w:rPr>
          <w:rFonts w:asciiTheme="majorHAnsi" w:hAnsiTheme="majorHAnsi"/>
          <w:sz w:val="28"/>
          <w:szCs w:val="28"/>
        </w:rPr>
        <w:t xml:space="preserve"> Однак ці калібрування не входять до CIPM MRA, </w:t>
      </w:r>
      <w:r w:rsidR="007A4126" w:rsidRPr="00200825">
        <w:rPr>
          <w:rFonts w:asciiTheme="majorHAnsi" w:hAnsiTheme="majorHAnsi"/>
          <w:sz w:val="28"/>
          <w:szCs w:val="28"/>
        </w:rPr>
        <w:t xml:space="preserve">не можуть містити </w:t>
      </w:r>
      <w:r w:rsidR="00FF071D" w:rsidRPr="00200825">
        <w:rPr>
          <w:rFonts w:asciiTheme="majorHAnsi" w:hAnsiTheme="majorHAnsi"/>
          <w:sz w:val="28"/>
          <w:szCs w:val="28"/>
        </w:rPr>
        <w:t>заяв</w:t>
      </w:r>
      <w:r w:rsidR="008E4352">
        <w:rPr>
          <w:rFonts w:asciiTheme="majorHAnsi" w:hAnsiTheme="majorHAnsi"/>
          <w:sz w:val="28"/>
          <w:szCs w:val="28"/>
        </w:rPr>
        <w:t>у</w:t>
      </w:r>
      <w:r w:rsidR="00917FEC" w:rsidRPr="00200825">
        <w:rPr>
          <w:rFonts w:asciiTheme="majorHAnsi" w:hAnsiTheme="majorHAnsi"/>
          <w:sz w:val="28"/>
          <w:szCs w:val="28"/>
        </w:rPr>
        <w:t xml:space="preserve"> про еквівален</w:t>
      </w:r>
      <w:r w:rsidR="007A4126" w:rsidRPr="00200825">
        <w:rPr>
          <w:rFonts w:asciiTheme="majorHAnsi" w:hAnsiTheme="majorHAnsi"/>
          <w:sz w:val="28"/>
          <w:szCs w:val="28"/>
        </w:rPr>
        <w:t>тність, складену JCRB, і не можуть</w:t>
      </w:r>
      <w:r w:rsidR="00917FEC" w:rsidRPr="00200825">
        <w:rPr>
          <w:rFonts w:asciiTheme="majorHAnsi" w:hAnsiTheme="majorHAnsi"/>
          <w:sz w:val="28"/>
          <w:szCs w:val="28"/>
        </w:rPr>
        <w:t xml:space="preserve"> містити логотип CIPM MRA.</w:t>
      </w:r>
      <w:r w:rsidR="006B1920" w:rsidRPr="00200825">
        <w:rPr>
          <w:rFonts w:asciiTheme="majorHAnsi" w:hAnsiTheme="majorHAnsi"/>
          <w:sz w:val="28"/>
          <w:szCs w:val="28"/>
        </w:rPr>
        <w:t xml:space="preserve"> Їх не можна пропонувати замовникам, які потім використовують їх для надання комерційної, загальнодоступної послуги. Тим NMIs, які можуть запропонувати послуги з меншою похибкою, ніж зазначено в базі даних калібрувальних та вимірювальних можливостей</w:t>
      </w:r>
      <w:r w:rsidR="009B5243">
        <w:rPr>
          <w:rFonts w:asciiTheme="majorHAnsi" w:hAnsiTheme="majorHAnsi"/>
          <w:sz w:val="28"/>
          <w:szCs w:val="28"/>
        </w:rPr>
        <w:t xml:space="preserve"> </w:t>
      </w:r>
      <w:r w:rsidR="006B1920" w:rsidRPr="00200825">
        <w:rPr>
          <w:rFonts w:asciiTheme="majorHAnsi" w:hAnsiTheme="majorHAnsi"/>
          <w:sz w:val="28"/>
          <w:szCs w:val="28"/>
        </w:rPr>
        <w:t xml:space="preserve">KCDB CIPM MRA, рекомендують подавати їх на розгляд CMC, щоб зробити їх доступними на регулярній основі, де </w:t>
      </w:r>
      <w:r w:rsidR="00B05011" w:rsidRPr="00200825">
        <w:rPr>
          <w:rFonts w:asciiTheme="majorHAnsi" w:hAnsiTheme="majorHAnsi"/>
          <w:sz w:val="28"/>
          <w:szCs w:val="28"/>
        </w:rPr>
        <w:t>це необхідно</w:t>
      </w:r>
      <w:r w:rsidR="006B1920" w:rsidRPr="00200825">
        <w:rPr>
          <w:rFonts w:asciiTheme="majorHAnsi" w:hAnsiTheme="majorHAnsi"/>
          <w:sz w:val="28"/>
          <w:szCs w:val="28"/>
        </w:rPr>
        <w:t>.</w:t>
      </w:r>
      <w:r w:rsidR="00B05011" w:rsidRPr="00200825">
        <w:rPr>
          <w:rFonts w:asciiTheme="majorHAnsi" w:hAnsiTheme="majorHAnsi"/>
          <w:sz w:val="28"/>
          <w:szCs w:val="28"/>
        </w:rPr>
        <w:t xml:space="preserve"> </w:t>
      </w:r>
    </w:p>
    <w:p w14:paraId="46E98AC6" w14:textId="77777777" w:rsidR="0092575E" w:rsidRPr="00200825" w:rsidRDefault="0092575E" w:rsidP="00917FEC">
      <w:pPr>
        <w:spacing w:after="0"/>
        <w:ind w:left="720"/>
        <w:jc w:val="both"/>
        <w:rPr>
          <w:rFonts w:asciiTheme="majorHAnsi" w:hAnsiTheme="majorHAnsi"/>
          <w:sz w:val="28"/>
          <w:szCs w:val="28"/>
        </w:rPr>
      </w:pPr>
    </w:p>
    <w:p w14:paraId="087DA706" w14:textId="77777777" w:rsidR="00B35C99" w:rsidRPr="00200825" w:rsidRDefault="0092575E" w:rsidP="0092575E">
      <w:pPr>
        <w:spacing w:after="0"/>
        <w:ind w:left="720"/>
        <w:jc w:val="both"/>
        <w:rPr>
          <w:rFonts w:asciiTheme="majorHAnsi" w:hAnsiTheme="majorHAnsi"/>
          <w:sz w:val="28"/>
          <w:szCs w:val="28"/>
        </w:rPr>
      </w:pPr>
      <w:r w:rsidRPr="00200825">
        <w:rPr>
          <w:rFonts w:asciiTheme="majorHAnsi" w:hAnsiTheme="majorHAnsi"/>
          <w:b/>
          <w:sz w:val="28"/>
          <w:szCs w:val="28"/>
        </w:rPr>
        <w:t xml:space="preserve">N4 </w:t>
      </w:r>
      <w:r w:rsidR="00B05011" w:rsidRPr="00200825">
        <w:rPr>
          <w:rFonts w:asciiTheme="majorHAnsi" w:hAnsiTheme="majorHAnsi"/>
          <w:sz w:val="28"/>
          <w:szCs w:val="28"/>
        </w:rPr>
        <w:t>Зазвичай існує чотири спо</w:t>
      </w:r>
      <w:r w:rsidR="00F03B44">
        <w:rPr>
          <w:rFonts w:asciiTheme="majorHAnsi" w:hAnsiTheme="majorHAnsi"/>
          <w:sz w:val="28"/>
          <w:szCs w:val="28"/>
        </w:rPr>
        <w:t>соби, якими можна виразити повну</w:t>
      </w:r>
      <w:r w:rsidR="00B05011" w:rsidRPr="00200825">
        <w:rPr>
          <w:rFonts w:asciiTheme="majorHAnsi" w:hAnsiTheme="majorHAnsi"/>
          <w:sz w:val="28"/>
          <w:szCs w:val="28"/>
        </w:rPr>
        <w:t xml:space="preserve"> </w:t>
      </w:r>
      <w:r w:rsidR="00F03B44">
        <w:rPr>
          <w:rFonts w:asciiTheme="majorHAnsi" w:hAnsiTheme="majorHAnsi"/>
          <w:sz w:val="28"/>
          <w:szCs w:val="28"/>
        </w:rPr>
        <w:t>заяву</w:t>
      </w:r>
      <w:r w:rsidR="00B05011" w:rsidRPr="00200825">
        <w:rPr>
          <w:rFonts w:asciiTheme="majorHAnsi" w:hAnsiTheme="majorHAnsi"/>
          <w:sz w:val="28"/>
          <w:szCs w:val="28"/>
        </w:rPr>
        <w:t xml:space="preserve"> </w:t>
      </w:r>
      <w:r w:rsidR="00F03B44">
        <w:rPr>
          <w:rFonts w:asciiTheme="majorHAnsi" w:hAnsiTheme="majorHAnsi"/>
          <w:sz w:val="28"/>
          <w:szCs w:val="28"/>
        </w:rPr>
        <w:t xml:space="preserve">щодо </w:t>
      </w:r>
      <w:r w:rsidR="004363A3">
        <w:rPr>
          <w:rFonts w:asciiTheme="majorHAnsi" w:hAnsiTheme="majorHAnsi"/>
          <w:sz w:val="28"/>
          <w:szCs w:val="28"/>
        </w:rPr>
        <w:t>непевності</w:t>
      </w:r>
      <w:r w:rsidR="00B05011" w:rsidRPr="00200825">
        <w:rPr>
          <w:rFonts w:asciiTheme="majorHAnsi" w:hAnsiTheme="majorHAnsi"/>
          <w:sz w:val="28"/>
          <w:szCs w:val="28"/>
        </w:rPr>
        <w:t xml:space="preserve"> (діапазон, рівняння, фіксоване значення та матриця). </w:t>
      </w:r>
      <w:r w:rsidR="004363A3">
        <w:rPr>
          <w:rFonts w:asciiTheme="majorHAnsi" w:hAnsiTheme="majorHAnsi"/>
          <w:sz w:val="28"/>
          <w:szCs w:val="28"/>
        </w:rPr>
        <w:t xml:space="preserve">Непевність </w:t>
      </w:r>
      <w:r w:rsidR="00B05011" w:rsidRPr="00200825">
        <w:rPr>
          <w:rFonts w:asciiTheme="majorHAnsi" w:hAnsiTheme="majorHAnsi"/>
          <w:sz w:val="28"/>
          <w:szCs w:val="28"/>
        </w:rPr>
        <w:t xml:space="preserve">завжди </w:t>
      </w:r>
      <w:r w:rsidR="004363A3">
        <w:rPr>
          <w:rFonts w:asciiTheme="majorHAnsi" w:hAnsiTheme="majorHAnsi"/>
          <w:sz w:val="28"/>
          <w:szCs w:val="28"/>
        </w:rPr>
        <w:t>повинна</w:t>
      </w:r>
      <w:r w:rsidR="00B05011" w:rsidRPr="00200825">
        <w:rPr>
          <w:rFonts w:asciiTheme="majorHAnsi" w:hAnsiTheme="majorHAnsi"/>
          <w:sz w:val="28"/>
          <w:szCs w:val="28"/>
        </w:rPr>
        <w:t xml:space="preserve"> відповідати Настанові щодо подання </w:t>
      </w:r>
      <w:r w:rsidR="004363A3">
        <w:rPr>
          <w:rFonts w:asciiTheme="majorHAnsi" w:hAnsiTheme="majorHAnsi"/>
          <w:sz w:val="28"/>
          <w:szCs w:val="28"/>
        </w:rPr>
        <w:t>непевності</w:t>
      </w:r>
      <w:r w:rsidR="00B05011" w:rsidRPr="00200825">
        <w:rPr>
          <w:rFonts w:asciiTheme="majorHAnsi" w:hAnsiTheme="majorHAnsi"/>
          <w:sz w:val="28"/>
          <w:szCs w:val="28"/>
        </w:rPr>
        <w:t xml:space="preserve"> у вимірюванні (GUM) і </w:t>
      </w:r>
      <w:r w:rsidR="00F03B44">
        <w:rPr>
          <w:rFonts w:asciiTheme="majorHAnsi" w:hAnsiTheme="majorHAnsi"/>
          <w:sz w:val="28"/>
          <w:szCs w:val="28"/>
        </w:rPr>
        <w:t>мають</w:t>
      </w:r>
      <w:r w:rsidR="00B05011" w:rsidRPr="00200825">
        <w:rPr>
          <w:rFonts w:asciiTheme="majorHAnsi" w:hAnsiTheme="majorHAnsi"/>
          <w:sz w:val="28"/>
          <w:szCs w:val="28"/>
        </w:rPr>
        <w:t xml:space="preserve"> включати компоненти, перелічені у відповідних протоколах ключових звірень Консультативних комітетів CIPM. Їх можна знайти у звітах про </w:t>
      </w:r>
      <w:r w:rsidRPr="00200825">
        <w:rPr>
          <w:rFonts w:asciiTheme="majorHAnsi" w:hAnsiTheme="majorHAnsi"/>
          <w:sz w:val="28"/>
          <w:szCs w:val="28"/>
        </w:rPr>
        <w:t>звірення</w:t>
      </w:r>
      <w:r w:rsidR="00B05011" w:rsidRPr="00200825">
        <w:rPr>
          <w:rFonts w:asciiTheme="majorHAnsi" w:hAnsiTheme="majorHAnsi"/>
          <w:sz w:val="28"/>
          <w:szCs w:val="28"/>
        </w:rPr>
        <w:t xml:space="preserve">, опублікованих у CIPM MRA KCDB, як ключове або додаткове </w:t>
      </w:r>
      <w:r w:rsidRPr="00200825">
        <w:rPr>
          <w:rFonts w:asciiTheme="majorHAnsi" w:hAnsiTheme="majorHAnsi"/>
          <w:sz w:val="28"/>
          <w:szCs w:val="28"/>
        </w:rPr>
        <w:t>звірення</w:t>
      </w:r>
      <w:r w:rsidR="00B05011" w:rsidRPr="00200825">
        <w:rPr>
          <w:rFonts w:asciiTheme="majorHAnsi" w:hAnsiTheme="majorHAnsi"/>
          <w:sz w:val="28"/>
          <w:szCs w:val="28"/>
        </w:rPr>
        <w:t>.</w:t>
      </w:r>
    </w:p>
    <w:p w14:paraId="577D4388" w14:textId="77777777" w:rsidR="008E2E99" w:rsidRPr="00200825" w:rsidRDefault="008E2E99" w:rsidP="0092575E">
      <w:pPr>
        <w:spacing w:after="0"/>
        <w:ind w:left="720"/>
        <w:jc w:val="both"/>
        <w:rPr>
          <w:rFonts w:asciiTheme="majorHAnsi" w:hAnsiTheme="majorHAnsi"/>
          <w:b/>
          <w:sz w:val="28"/>
          <w:szCs w:val="28"/>
        </w:rPr>
      </w:pPr>
    </w:p>
    <w:p w14:paraId="7B9494A4" w14:textId="77777777" w:rsidR="008E2E99" w:rsidRPr="00200825" w:rsidRDefault="008E2E99" w:rsidP="0092575E">
      <w:pPr>
        <w:spacing w:after="0"/>
        <w:ind w:left="720"/>
        <w:jc w:val="both"/>
        <w:rPr>
          <w:rFonts w:asciiTheme="majorHAnsi" w:hAnsiTheme="majorHAnsi"/>
          <w:sz w:val="28"/>
          <w:szCs w:val="28"/>
        </w:rPr>
      </w:pPr>
      <w:r w:rsidRPr="00200825">
        <w:rPr>
          <w:rFonts w:asciiTheme="majorHAnsi" w:hAnsiTheme="majorHAnsi"/>
          <w:b/>
          <w:sz w:val="28"/>
          <w:szCs w:val="28"/>
        </w:rPr>
        <w:t>N5</w:t>
      </w:r>
      <w:r w:rsidR="00730002" w:rsidRPr="00200825">
        <w:rPr>
          <w:rFonts w:asciiTheme="majorHAnsi" w:hAnsiTheme="majorHAnsi"/>
          <w:b/>
          <w:sz w:val="28"/>
          <w:szCs w:val="28"/>
        </w:rPr>
        <w:t xml:space="preserve"> </w:t>
      </w:r>
      <w:r w:rsidR="00730002" w:rsidRPr="00200825">
        <w:rPr>
          <w:rFonts w:asciiTheme="majorHAnsi" w:hAnsiTheme="majorHAnsi"/>
          <w:sz w:val="28"/>
          <w:szCs w:val="28"/>
        </w:rPr>
        <w:t>Впливи</w:t>
      </w:r>
      <w:r w:rsidR="00EB78A5" w:rsidRPr="00200825">
        <w:rPr>
          <w:rFonts w:asciiTheme="majorHAnsi" w:hAnsiTheme="majorHAnsi"/>
          <w:sz w:val="28"/>
          <w:szCs w:val="28"/>
        </w:rPr>
        <w:t xml:space="preserve"> </w:t>
      </w:r>
      <w:r w:rsidR="004363A3">
        <w:rPr>
          <w:rFonts w:asciiTheme="majorHAnsi" w:hAnsiTheme="majorHAnsi"/>
          <w:sz w:val="28"/>
          <w:szCs w:val="28"/>
        </w:rPr>
        <w:t>непевності</w:t>
      </w:r>
      <w:r w:rsidR="00EB78A5" w:rsidRPr="00200825">
        <w:rPr>
          <w:rFonts w:asciiTheme="majorHAnsi" w:hAnsiTheme="majorHAnsi"/>
          <w:sz w:val="28"/>
          <w:szCs w:val="28"/>
        </w:rPr>
        <w:t>, з</w:t>
      </w:r>
      <w:r w:rsidR="00525541" w:rsidRPr="00200825">
        <w:rPr>
          <w:rFonts w:asciiTheme="majorHAnsi" w:hAnsiTheme="majorHAnsi"/>
          <w:sz w:val="28"/>
          <w:szCs w:val="28"/>
        </w:rPr>
        <w:t>азначені</w:t>
      </w:r>
      <w:r w:rsidR="00730002" w:rsidRPr="00200825">
        <w:rPr>
          <w:rFonts w:asciiTheme="majorHAnsi" w:hAnsiTheme="majorHAnsi"/>
          <w:sz w:val="28"/>
          <w:szCs w:val="28"/>
        </w:rPr>
        <w:t xml:space="preserve"> в сертифікаті калібрування, які викликані пристроєм замовника до або після його калібрування чи вимірювання в лабораторії або NMІ та, які б включали </w:t>
      </w:r>
      <w:r w:rsidR="0070685E">
        <w:rPr>
          <w:rFonts w:asciiTheme="majorHAnsi" w:hAnsiTheme="majorHAnsi"/>
          <w:sz w:val="28"/>
          <w:szCs w:val="28"/>
        </w:rPr>
        <w:t>непевність</w:t>
      </w:r>
      <w:r w:rsidR="00730002" w:rsidRPr="00200825">
        <w:rPr>
          <w:rFonts w:asciiTheme="majorHAnsi" w:hAnsiTheme="majorHAnsi"/>
          <w:sz w:val="28"/>
          <w:szCs w:val="28"/>
        </w:rPr>
        <w:t xml:space="preserve"> транспортування, зазвичай повинні бути виключені </w:t>
      </w:r>
      <w:r w:rsidR="00F03B44">
        <w:rPr>
          <w:rFonts w:asciiTheme="majorHAnsi" w:hAnsiTheme="majorHAnsi"/>
          <w:sz w:val="28"/>
          <w:szCs w:val="28"/>
        </w:rPr>
        <w:t>із</w:t>
      </w:r>
      <w:r w:rsidR="00525541" w:rsidRPr="00200825">
        <w:rPr>
          <w:rFonts w:asciiTheme="majorHAnsi" w:hAnsiTheme="majorHAnsi"/>
          <w:sz w:val="28"/>
          <w:szCs w:val="28"/>
        </w:rPr>
        <w:t xml:space="preserve"> </w:t>
      </w:r>
      <w:r w:rsidR="00F03B44">
        <w:rPr>
          <w:rFonts w:asciiTheme="majorHAnsi" w:hAnsiTheme="majorHAnsi"/>
          <w:sz w:val="28"/>
          <w:szCs w:val="28"/>
        </w:rPr>
        <w:t>заяви</w:t>
      </w:r>
      <w:r w:rsidR="00730002" w:rsidRPr="00200825">
        <w:rPr>
          <w:rFonts w:asciiTheme="majorHAnsi" w:hAnsiTheme="majorHAnsi"/>
          <w:sz w:val="28"/>
          <w:szCs w:val="28"/>
        </w:rPr>
        <w:t xml:space="preserve"> </w:t>
      </w:r>
      <w:r w:rsidR="00F03B44">
        <w:rPr>
          <w:rFonts w:asciiTheme="majorHAnsi" w:hAnsiTheme="majorHAnsi"/>
          <w:sz w:val="28"/>
          <w:szCs w:val="28"/>
        </w:rPr>
        <w:t xml:space="preserve">щодо </w:t>
      </w:r>
      <w:r w:rsidR="004363A3">
        <w:rPr>
          <w:rFonts w:asciiTheme="majorHAnsi" w:hAnsiTheme="majorHAnsi"/>
          <w:sz w:val="28"/>
          <w:szCs w:val="28"/>
        </w:rPr>
        <w:t>непевності</w:t>
      </w:r>
      <w:r w:rsidR="00730002" w:rsidRPr="00200825">
        <w:rPr>
          <w:rFonts w:asciiTheme="majorHAnsi" w:hAnsiTheme="majorHAnsi"/>
          <w:sz w:val="28"/>
          <w:szCs w:val="28"/>
        </w:rPr>
        <w:t xml:space="preserve">. </w:t>
      </w:r>
      <w:r w:rsidR="00EB78A5" w:rsidRPr="00200825">
        <w:rPr>
          <w:rFonts w:asciiTheme="majorHAnsi" w:hAnsiTheme="majorHAnsi"/>
          <w:sz w:val="28"/>
          <w:szCs w:val="28"/>
        </w:rPr>
        <w:t>Впливи</w:t>
      </w:r>
      <w:r w:rsidR="00525541" w:rsidRPr="00200825">
        <w:rPr>
          <w:rFonts w:asciiTheme="majorHAnsi" w:hAnsiTheme="majorHAnsi"/>
          <w:sz w:val="28"/>
          <w:szCs w:val="28"/>
        </w:rPr>
        <w:t xml:space="preserve"> </w:t>
      </w:r>
      <w:r w:rsidR="0070685E">
        <w:rPr>
          <w:rFonts w:asciiTheme="majorHAnsi" w:hAnsiTheme="majorHAnsi"/>
          <w:sz w:val="28"/>
          <w:szCs w:val="28"/>
        </w:rPr>
        <w:t>не</w:t>
      </w:r>
      <w:r w:rsidR="004363A3">
        <w:rPr>
          <w:rFonts w:asciiTheme="majorHAnsi" w:hAnsiTheme="majorHAnsi"/>
          <w:sz w:val="28"/>
          <w:szCs w:val="28"/>
        </w:rPr>
        <w:t>певності</w:t>
      </w:r>
      <w:r w:rsidR="00525541" w:rsidRPr="00200825">
        <w:rPr>
          <w:rFonts w:asciiTheme="majorHAnsi" w:hAnsiTheme="majorHAnsi"/>
          <w:sz w:val="28"/>
          <w:szCs w:val="28"/>
        </w:rPr>
        <w:t>, зазначені</w:t>
      </w:r>
      <w:r w:rsidR="00730002" w:rsidRPr="00200825">
        <w:rPr>
          <w:rFonts w:asciiTheme="majorHAnsi" w:hAnsiTheme="majorHAnsi"/>
          <w:sz w:val="28"/>
          <w:szCs w:val="28"/>
        </w:rPr>
        <w:t xml:space="preserve"> в сертифікаті калібрування, включають виміряну продуктивність випробовуваного пристрою під час його калібрування в NMI або </w:t>
      </w:r>
      <w:r w:rsidR="00730002" w:rsidRPr="00200825">
        <w:rPr>
          <w:rFonts w:asciiTheme="majorHAnsi" w:hAnsiTheme="majorHAnsi"/>
          <w:sz w:val="28"/>
          <w:szCs w:val="28"/>
        </w:rPr>
        <w:lastRenderedPageBreak/>
        <w:t>акредитованій лабораторії.</w:t>
      </w:r>
      <w:r w:rsidR="00525541" w:rsidRPr="00200825">
        <w:rPr>
          <w:rFonts w:asciiTheme="majorHAnsi" w:hAnsiTheme="majorHAnsi"/>
          <w:sz w:val="28"/>
          <w:szCs w:val="28"/>
        </w:rPr>
        <w:t xml:space="preserve"> </w:t>
      </w:r>
      <w:r w:rsidR="00F03B44">
        <w:rPr>
          <w:rFonts w:asciiTheme="majorHAnsi" w:hAnsiTheme="majorHAnsi"/>
          <w:sz w:val="28"/>
          <w:szCs w:val="28"/>
        </w:rPr>
        <w:t>Заяви</w:t>
      </w:r>
      <w:r w:rsidR="00525541" w:rsidRPr="00200825">
        <w:rPr>
          <w:rFonts w:asciiTheme="majorHAnsi" w:hAnsiTheme="majorHAnsi"/>
          <w:sz w:val="28"/>
          <w:szCs w:val="28"/>
        </w:rPr>
        <w:t xml:space="preserve"> щодо </w:t>
      </w:r>
      <w:r w:rsidR="004363A3">
        <w:rPr>
          <w:rFonts w:asciiTheme="majorHAnsi" w:hAnsiTheme="majorHAnsi"/>
          <w:sz w:val="28"/>
          <w:szCs w:val="28"/>
        </w:rPr>
        <w:t>непевності</w:t>
      </w:r>
      <w:r w:rsidR="00525541" w:rsidRPr="00200825">
        <w:rPr>
          <w:rFonts w:asciiTheme="majorHAnsi" w:hAnsiTheme="majorHAnsi"/>
          <w:sz w:val="28"/>
          <w:szCs w:val="28"/>
        </w:rPr>
        <w:t xml:space="preserve"> CMC передбачають цю ситуацію шляхом включення </w:t>
      </w:r>
      <w:r w:rsidR="009B658F" w:rsidRPr="00200825">
        <w:rPr>
          <w:rFonts w:asciiTheme="majorHAnsi" w:hAnsiTheme="majorHAnsi"/>
          <w:sz w:val="28"/>
          <w:szCs w:val="28"/>
        </w:rPr>
        <w:t>погоджених</w:t>
      </w:r>
      <w:r w:rsidR="00525541" w:rsidRPr="00200825">
        <w:rPr>
          <w:rFonts w:asciiTheme="majorHAnsi" w:hAnsiTheme="majorHAnsi"/>
          <w:sz w:val="28"/>
          <w:szCs w:val="28"/>
        </w:rPr>
        <w:t xml:space="preserve"> значень для </w:t>
      </w:r>
      <w:r w:rsidR="009B658F" w:rsidRPr="00200825">
        <w:rPr>
          <w:rFonts w:asciiTheme="majorHAnsi" w:hAnsiTheme="majorHAnsi"/>
          <w:sz w:val="28"/>
          <w:szCs w:val="28"/>
        </w:rPr>
        <w:t xml:space="preserve">найкращих існуючих на сьогодні пристроїв. Це </w:t>
      </w:r>
      <w:r w:rsidR="00F03B44">
        <w:rPr>
          <w:rFonts w:asciiTheme="majorHAnsi" w:hAnsiTheme="majorHAnsi"/>
          <w:sz w:val="28"/>
          <w:szCs w:val="28"/>
        </w:rPr>
        <w:t>включно з випадком</w:t>
      </w:r>
      <w:r w:rsidR="009B658F" w:rsidRPr="00200825">
        <w:rPr>
          <w:rFonts w:asciiTheme="majorHAnsi" w:hAnsiTheme="majorHAnsi"/>
          <w:sz w:val="28"/>
          <w:szCs w:val="28"/>
        </w:rPr>
        <w:t>, коли один NMI забезпечує простежуваність до SI для іншого NMI, часто використовуючи пристрій, який не є комерційно доступним.</w:t>
      </w:r>
    </w:p>
    <w:p w14:paraId="0E17486C" w14:textId="77777777" w:rsidR="00FE42AD" w:rsidRPr="00200825" w:rsidRDefault="00FE42AD" w:rsidP="0092575E">
      <w:pPr>
        <w:spacing w:after="0"/>
        <w:ind w:left="720"/>
        <w:jc w:val="both"/>
        <w:rPr>
          <w:rFonts w:asciiTheme="majorHAnsi" w:hAnsiTheme="majorHAnsi"/>
          <w:b/>
          <w:sz w:val="28"/>
          <w:szCs w:val="28"/>
        </w:rPr>
      </w:pPr>
    </w:p>
    <w:p w14:paraId="2E421FFE" w14:textId="77777777" w:rsidR="00EF297E" w:rsidRPr="00200825" w:rsidRDefault="008E2E99" w:rsidP="00EF297E">
      <w:pPr>
        <w:spacing w:after="0"/>
        <w:ind w:left="720"/>
        <w:jc w:val="both"/>
        <w:rPr>
          <w:rFonts w:asciiTheme="majorHAnsi" w:hAnsiTheme="majorHAnsi"/>
          <w:sz w:val="28"/>
          <w:szCs w:val="28"/>
        </w:rPr>
      </w:pPr>
      <w:r w:rsidRPr="00200825">
        <w:rPr>
          <w:rFonts w:asciiTheme="majorHAnsi" w:hAnsiTheme="majorHAnsi"/>
          <w:b/>
          <w:sz w:val="28"/>
          <w:szCs w:val="28"/>
        </w:rPr>
        <w:t>N5а</w:t>
      </w:r>
      <w:r w:rsidR="00FE42AD" w:rsidRPr="00200825">
        <w:t xml:space="preserve"> </w:t>
      </w:r>
      <w:r w:rsidR="00FE42AD" w:rsidRPr="00200825">
        <w:rPr>
          <w:rFonts w:asciiTheme="majorHAnsi" w:hAnsiTheme="majorHAnsi"/>
          <w:sz w:val="28"/>
          <w:szCs w:val="28"/>
        </w:rPr>
        <w:t>Якщо NMI</w:t>
      </w:r>
      <w:r w:rsidR="00F03B44" w:rsidRPr="00200825">
        <w:rPr>
          <w:rFonts w:asciiTheme="majorHAnsi" w:hAnsiTheme="majorHAnsi"/>
          <w:sz w:val="28"/>
          <w:szCs w:val="28"/>
        </w:rPr>
        <w:t>s</w:t>
      </w:r>
      <w:r w:rsidR="00FE42AD" w:rsidRPr="00200825">
        <w:rPr>
          <w:rFonts w:asciiTheme="majorHAnsi" w:hAnsiTheme="majorHAnsi"/>
          <w:sz w:val="28"/>
          <w:szCs w:val="28"/>
        </w:rPr>
        <w:t xml:space="preserve"> поширюють свої CMC</w:t>
      </w:r>
      <w:r w:rsidR="002D54A8" w:rsidRPr="00200825">
        <w:rPr>
          <w:rFonts w:asciiTheme="majorHAnsi" w:hAnsiTheme="majorHAnsi"/>
          <w:sz w:val="28"/>
          <w:szCs w:val="28"/>
        </w:rPr>
        <w:t>s</w:t>
      </w:r>
      <w:r w:rsidR="00FE42AD" w:rsidRPr="00200825">
        <w:rPr>
          <w:rFonts w:asciiTheme="majorHAnsi" w:hAnsiTheme="majorHAnsi"/>
          <w:sz w:val="28"/>
          <w:szCs w:val="28"/>
        </w:rPr>
        <w:t xml:space="preserve"> серед замовників через такі послуги, як калібрування або надання референтного значення, </w:t>
      </w:r>
      <w:r w:rsidR="00FF071D" w:rsidRPr="00200825">
        <w:rPr>
          <w:rFonts w:asciiTheme="majorHAnsi" w:hAnsiTheme="majorHAnsi"/>
          <w:sz w:val="28"/>
          <w:szCs w:val="28"/>
        </w:rPr>
        <w:t>заява</w:t>
      </w:r>
      <w:r w:rsidR="00FE42AD" w:rsidRPr="00200825">
        <w:rPr>
          <w:rFonts w:asciiTheme="majorHAnsi" w:hAnsiTheme="majorHAnsi"/>
          <w:sz w:val="28"/>
          <w:szCs w:val="28"/>
        </w:rPr>
        <w:t xml:space="preserve"> </w:t>
      </w:r>
      <w:r w:rsidR="00F03B44">
        <w:rPr>
          <w:rFonts w:asciiTheme="majorHAnsi" w:hAnsiTheme="majorHAnsi"/>
          <w:sz w:val="28"/>
          <w:szCs w:val="28"/>
        </w:rPr>
        <w:t xml:space="preserve">щодо </w:t>
      </w:r>
      <w:r w:rsidR="004363A3">
        <w:rPr>
          <w:rFonts w:asciiTheme="majorHAnsi" w:hAnsiTheme="majorHAnsi"/>
          <w:sz w:val="28"/>
          <w:szCs w:val="28"/>
        </w:rPr>
        <w:t>непевності</w:t>
      </w:r>
      <w:r w:rsidR="00F03B44">
        <w:rPr>
          <w:rFonts w:asciiTheme="majorHAnsi" w:hAnsiTheme="majorHAnsi"/>
          <w:sz w:val="28"/>
          <w:szCs w:val="28"/>
        </w:rPr>
        <w:t>, надана</w:t>
      </w:r>
      <w:r w:rsidR="00FE42AD" w:rsidRPr="00200825">
        <w:rPr>
          <w:rFonts w:asciiTheme="majorHAnsi" w:hAnsiTheme="majorHAnsi"/>
          <w:sz w:val="28"/>
          <w:szCs w:val="28"/>
        </w:rPr>
        <w:t xml:space="preserve"> NMI, як правило, має включати фактори, пов’язані з процедурою вимірювання, оскільки її виконують на зразку, тобто, необхідно </w:t>
      </w:r>
      <w:r w:rsidR="00E36DDE" w:rsidRPr="00200825">
        <w:rPr>
          <w:rFonts w:asciiTheme="majorHAnsi" w:hAnsiTheme="majorHAnsi"/>
          <w:sz w:val="28"/>
          <w:szCs w:val="28"/>
        </w:rPr>
        <w:t>взяти до уваги</w:t>
      </w:r>
      <w:r w:rsidR="00FE42AD" w:rsidRPr="00200825">
        <w:rPr>
          <w:rFonts w:asciiTheme="majorHAnsi" w:hAnsiTheme="majorHAnsi"/>
          <w:sz w:val="28"/>
          <w:szCs w:val="28"/>
        </w:rPr>
        <w:t xml:space="preserve"> типові ефекти матриці, перешкоди тощо. </w:t>
      </w:r>
      <w:r w:rsidR="006A1107" w:rsidRPr="00200825">
        <w:rPr>
          <w:rFonts w:asciiTheme="majorHAnsi" w:hAnsiTheme="majorHAnsi"/>
          <w:sz w:val="28"/>
          <w:szCs w:val="28"/>
        </w:rPr>
        <w:t xml:space="preserve">Такі </w:t>
      </w:r>
      <w:r w:rsidR="00C46216">
        <w:rPr>
          <w:rFonts w:asciiTheme="majorHAnsi" w:hAnsiTheme="majorHAnsi"/>
          <w:sz w:val="28"/>
          <w:szCs w:val="28"/>
        </w:rPr>
        <w:t>заяви</w:t>
      </w:r>
      <w:r w:rsidR="006A1107" w:rsidRPr="00200825">
        <w:rPr>
          <w:rFonts w:asciiTheme="majorHAnsi" w:hAnsiTheme="majorHAnsi"/>
          <w:sz w:val="28"/>
          <w:szCs w:val="28"/>
        </w:rPr>
        <w:t xml:space="preserve"> щодо </w:t>
      </w:r>
      <w:r w:rsidR="004363A3">
        <w:rPr>
          <w:rFonts w:asciiTheme="majorHAnsi" w:hAnsiTheme="majorHAnsi"/>
          <w:sz w:val="28"/>
          <w:szCs w:val="28"/>
        </w:rPr>
        <w:t>непевності</w:t>
      </w:r>
      <w:r w:rsidR="006A1107" w:rsidRPr="00200825">
        <w:rPr>
          <w:rFonts w:asciiTheme="majorHAnsi" w:hAnsiTheme="majorHAnsi"/>
          <w:sz w:val="28"/>
          <w:szCs w:val="28"/>
        </w:rPr>
        <w:t xml:space="preserve">, як правило, не включатимуть </w:t>
      </w:r>
      <w:r w:rsidR="00733AC8" w:rsidRPr="00200825">
        <w:rPr>
          <w:rFonts w:asciiTheme="majorHAnsi" w:hAnsiTheme="majorHAnsi"/>
          <w:sz w:val="28"/>
          <w:szCs w:val="28"/>
        </w:rPr>
        <w:t>впливи</w:t>
      </w:r>
      <w:r w:rsidR="006A1107" w:rsidRPr="00200825">
        <w:rPr>
          <w:rFonts w:asciiTheme="majorHAnsi" w:hAnsiTheme="majorHAnsi"/>
          <w:sz w:val="28"/>
          <w:szCs w:val="28"/>
        </w:rPr>
        <w:t>, що виникають через стабільність або неоднорідність матеріалу.</w:t>
      </w:r>
      <w:r w:rsidR="00733AC8" w:rsidRPr="00200825">
        <w:rPr>
          <w:rFonts w:asciiTheme="majorHAnsi" w:hAnsiTheme="majorHAnsi"/>
          <w:sz w:val="28"/>
          <w:szCs w:val="28"/>
        </w:rPr>
        <w:t xml:space="preserve"> Однак можуть </w:t>
      </w:r>
      <w:r w:rsidR="00C46216">
        <w:rPr>
          <w:rFonts w:asciiTheme="majorHAnsi" w:hAnsiTheme="majorHAnsi"/>
          <w:sz w:val="28"/>
          <w:szCs w:val="28"/>
        </w:rPr>
        <w:t>просити</w:t>
      </w:r>
      <w:r w:rsidR="00733AC8" w:rsidRPr="00200825">
        <w:rPr>
          <w:rFonts w:asciiTheme="majorHAnsi" w:hAnsiTheme="majorHAnsi"/>
          <w:sz w:val="28"/>
          <w:szCs w:val="28"/>
        </w:rPr>
        <w:t xml:space="preserve"> </w:t>
      </w:r>
      <w:r w:rsidR="00E36DDE" w:rsidRPr="00200825">
        <w:rPr>
          <w:rFonts w:asciiTheme="majorHAnsi" w:hAnsiTheme="majorHAnsi"/>
          <w:sz w:val="28"/>
          <w:szCs w:val="28"/>
        </w:rPr>
        <w:t xml:space="preserve">NMI </w:t>
      </w:r>
      <w:r w:rsidR="00733AC8" w:rsidRPr="00200825">
        <w:rPr>
          <w:rFonts w:asciiTheme="majorHAnsi" w:hAnsiTheme="majorHAnsi"/>
          <w:sz w:val="28"/>
          <w:szCs w:val="28"/>
        </w:rPr>
        <w:t xml:space="preserve">оцінити ці ефекти і в такому разі  відповідна </w:t>
      </w:r>
      <w:r w:rsidR="0070685E">
        <w:rPr>
          <w:rFonts w:asciiTheme="majorHAnsi" w:hAnsiTheme="majorHAnsi"/>
          <w:sz w:val="28"/>
          <w:szCs w:val="28"/>
        </w:rPr>
        <w:t>непевність</w:t>
      </w:r>
      <w:r w:rsidR="00733AC8" w:rsidRPr="00200825">
        <w:rPr>
          <w:rFonts w:asciiTheme="majorHAnsi" w:hAnsiTheme="majorHAnsi"/>
          <w:sz w:val="28"/>
          <w:szCs w:val="28"/>
        </w:rPr>
        <w:t xml:space="preserve"> повинна бути зазначена в сертифікаті вимірювання. Оскільки </w:t>
      </w:r>
      <w:r w:rsidR="0070685E">
        <w:rPr>
          <w:rFonts w:asciiTheme="majorHAnsi" w:hAnsiTheme="majorHAnsi"/>
          <w:sz w:val="28"/>
          <w:szCs w:val="28"/>
        </w:rPr>
        <w:t>непевність</w:t>
      </w:r>
      <w:r w:rsidR="00733AC8" w:rsidRPr="00200825">
        <w:rPr>
          <w:rFonts w:asciiTheme="majorHAnsi" w:hAnsiTheme="majorHAnsi"/>
          <w:sz w:val="28"/>
          <w:szCs w:val="28"/>
        </w:rPr>
        <w:t xml:space="preserve">, пов’язана із зазначеним CMC, не може передбачити ці ефекти, </w:t>
      </w:r>
      <w:r w:rsidR="00D35ABF" w:rsidRPr="00200825">
        <w:rPr>
          <w:rFonts w:asciiTheme="majorHAnsi" w:hAnsiTheme="majorHAnsi"/>
          <w:sz w:val="28"/>
          <w:szCs w:val="28"/>
        </w:rPr>
        <w:t xml:space="preserve">то </w:t>
      </w:r>
      <w:r w:rsidR="009755E5" w:rsidRPr="00200825">
        <w:rPr>
          <w:rFonts w:asciiTheme="majorHAnsi" w:hAnsiTheme="majorHAnsi"/>
          <w:sz w:val="28"/>
          <w:szCs w:val="28"/>
        </w:rPr>
        <w:t xml:space="preserve">CMC </w:t>
      </w:r>
      <w:r w:rsidR="0070685E">
        <w:rPr>
          <w:rFonts w:asciiTheme="majorHAnsi" w:hAnsiTheme="majorHAnsi"/>
          <w:sz w:val="28"/>
          <w:szCs w:val="28"/>
        </w:rPr>
        <w:t>непевність</w:t>
      </w:r>
      <w:r w:rsidR="00733AC8" w:rsidRPr="00200825">
        <w:rPr>
          <w:rFonts w:asciiTheme="majorHAnsi" w:hAnsiTheme="majorHAnsi"/>
          <w:sz w:val="28"/>
          <w:szCs w:val="28"/>
        </w:rPr>
        <w:t xml:space="preserve"> має ґрунтуватися на аналізі </w:t>
      </w:r>
      <w:r w:rsidR="00D35ABF" w:rsidRPr="00200825">
        <w:rPr>
          <w:rFonts w:asciiTheme="majorHAnsi" w:hAnsiTheme="majorHAnsi"/>
          <w:sz w:val="28"/>
          <w:szCs w:val="28"/>
        </w:rPr>
        <w:t>власної продуктивності</w:t>
      </w:r>
      <w:r w:rsidR="00733AC8" w:rsidRPr="00200825">
        <w:rPr>
          <w:rFonts w:asciiTheme="majorHAnsi" w:hAnsiTheme="majorHAnsi"/>
          <w:sz w:val="28"/>
          <w:szCs w:val="28"/>
        </w:rPr>
        <w:t xml:space="preserve"> методу для типових </w:t>
      </w:r>
      <w:r w:rsidR="00EF297E" w:rsidRPr="00200825">
        <w:rPr>
          <w:rFonts w:asciiTheme="majorHAnsi" w:hAnsiTheme="majorHAnsi"/>
          <w:sz w:val="28"/>
          <w:szCs w:val="28"/>
        </w:rPr>
        <w:t>стабільних</w:t>
      </w:r>
      <w:r w:rsidR="00733AC8" w:rsidRPr="00200825">
        <w:rPr>
          <w:rFonts w:asciiTheme="majorHAnsi" w:hAnsiTheme="majorHAnsi"/>
          <w:sz w:val="28"/>
          <w:szCs w:val="28"/>
        </w:rPr>
        <w:t xml:space="preserve"> і однорідних зразків.</w:t>
      </w:r>
    </w:p>
    <w:p w14:paraId="39D21510" w14:textId="77777777" w:rsidR="00EF297E" w:rsidRPr="00200825" w:rsidRDefault="00EF297E" w:rsidP="00EF297E">
      <w:pPr>
        <w:spacing w:after="0"/>
        <w:ind w:left="720"/>
        <w:jc w:val="both"/>
        <w:rPr>
          <w:rFonts w:asciiTheme="majorHAnsi" w:hAnsiTheme="majorHAnsi"/>
          <w:b/>
          <w:sz w:val="28"/>
          <w:szCs w:val="28"/>
        </w:rPr>
      </w:pPr>
    </w:p>
    <w:p w14:paraId="4B7ECCB8" w14:textId="77777777" w:rsidR="008E2E99" w:rsidRPr="00200825" w:rsidRDefault="008E2E99" w:rsidP="00EF297E">
      <w:pPr>
        <w:spacing w:after="0"/>
        <w:ind w:left="720"/>
        <w:jc w:val="both"/>
        <w:rPr>
          <w:rFonts w:asciiTheme="majorHAnsi" w:hAnsiTheme="majorHAnsi"/>
          <w:sz w:val="28"/>
          <w:szCs w:val="28"/>
        </w:rPr>
      </w:pPr>
      <w:r w:rsidRPr="00200825">
        <w:rPr>
          <w:rFonts w:asciiTheme="majorHAnsi" w:hAnsiTheme="majorHAnsi"/>
          <w:b/>
          <w:sz w:val="28"/>
          <w:szCs w:val="28"/>
        </w:rPr>
        <w:t>N5</w:t>
      </w:r>
      <w:r w:rsidRPr="00200825">
        <w:rPr>
          <w:rFonts w:asciiTheme="majorHAnsi" w:hAnsiTheme="majorHAnsi"/>
          <w:b/>
          <w:sz w:val="28"/>
          <w:szCs w:val="28"/>
          <w:lang w:val="en-US"/>
        </w:rPr>
        <w:t>b</w:t>
      </w:r>
      <w:r w:rsidR="00EF297E" w:rsidRPr="00200825">
        <w:rPr>
          <w:rFonts w:asciiTheme="majorHAnsi" w:hAnsiTheme="majorHAnsi"/>
          <w:b/>
          <w:sz w:val="28"/>
          <w:szCs w:val="28"/>
        </w:rPr>
        <w:t xml:space="preserve"> </w:t>
      </w:r>
      <w:r w:rsidR="00EF297E" w:rsidRPr="00200825">
        <w:rPr>
          <w:rFonts w:asciiTheme="majorHAnsi" w:hAnsiTheme="majorHAnsi"/>
          <w:sz w:val="28"/>
          <w:szCs w:val="28"/>
        </w:rPr>
        <w:t>Якщо NMI</w:t>
      </w:r>
      <w:r w:rsidR="002D54A8" w:rsidRPr="00200825">
        <w:rPr>
          <w:rFonts w:asciiTheme="majorHAnsi" w:hAnsiTheme="majorHAnsi"/>
          <w:sz w:val="28"/>
          <w:szCs w:val="28"/>
        </w:rPr>
        <w:t>s</w:t>
      </w:r>
      <w:r w:rsidR="00EF297E" w:rsidRPr="00200825">
        <w:rPr>
          <w:rFonts w:asciiTheme="majorHAnsi" w:hAnsiTheme="majorHAnsi"/>
          <w:sz w:val="28"/>
          <w:szCs w:val="28"/>
        </w:rPr>
        <w:t xml:space="preserve"> поширюють свої CMC</w:t>
      </w:r>
      <w:r w:rsidR="002D54A8" w:rsidRPr="00200825">
        <w:rPr>
          <w:rFonts w:asciiTheme="majorHAnsi" w:hAnsiTheme="majorHAnsi"/>
          <w:sz w:val="28"/>
          <w:szCs w:val="28"/>
        </w:rPr>
        <w:t>s</w:t>
      </w:r>
      <w:r w:rsidR="00EF297E" w:rsidRPr="00200825">
        <w:rPr>
          <w:rFonts w:asciiTheme="majorHAnsi" w:hAnsiTheme="majorHAnsi"/>
          <w:sz w:val="28"/>
          <w:szCs w:val="28"/>
        </w:rPr>
        <w:t xml:space="preserve"> серед замовників через надання сертифікованих референтних матеріалів (CRM</w:t>
      </w:r>
      <w:r w:rsidR="002D54A8" w:rsidRPr="00200825">
        <w:rPr>
          <w:rFonts w:asciiTheme="majorHAnsi" w:hAnsiTheme="majorHAnsi"/>
          <w:sz w:val="28"/>
          <w:szCs w:val="28"/>
        </w:rPr>
        <w:t>s</w:t>
      </w:r>
      <w:r w:rsidR="00EF297E" w:rsidRPr="00200825">
        <w:rPr>
          <w:rFonts w:asciiTheme="majorHAnsi" w:hAnsiTheme="majorHAnsi"/>
          <w:sz w:val="28"/>
          <w:szCs w:val="28"/>
        </w:rPr>
        <w:t xml:space="preserve">), </w:t>
      </w:r>
      <w:r w:rsidR="00FF071D" w:rsidRPr="00200825">
        <w:rPr>
          <w:rFonts w:asciiTheme="majorHAnsi" w:hAnsiTheme="majorHAnsi"/>
          <w:sz w:val="28"/>
          <w:szCs w:val="28"/>
        </w:rPr>
        <w:t>заява</w:t>
      </w:r>
      <w:r w:rsidR="00EF297E" w:rsidRPr="00200825">
        <w:rPr>
          <w:rFonts w:asciiTheme="majorHAnsi" w:hAnsiTheme="majorHAnsi"/>
          <w:sz w:val="28"/>
          <w:szCs w:val="28"/>
        </w:rPr>
        <w:t xml:space="preserve"> щодо </w:t>
      </w:r>
      <w:r w:rsidR="004363A3">
        <w:rPr>
          <w:rFonts w:asciiTheme="majorHAnsi" w:hAnsiTheme="majorHAnsi"/>
          <w:sz w:val="28"/>
          <w:szCs w:val="28"/>
        </w:rPr>
        <w:t>непевності</w:t>
      </w:r>
      <w:r w:rsidR="00EF297E" w:rsidRPr="00200825">
        <w:rPr>
          <w:rFonts w:asciiTheme="majorHAnsi" w:hAnsiTheme="majorHAnsi"/>
          <w:sz w:val="28"/>
          <w:szCs w:val="28"/>
        </w:rPr>
        <w:t>, що супроводжує CRM</w:t>
      </w:r>
      <w:r w:rsidR="00C46216">
        <w:rPr>
          <w:rFonts w:asciiTheme="majorHAnsi" w:hAnsiTheme="majorHAnsi"/>
          <w:sz w:val="28"/>
          <w:szCs w:val="28"/>
        </w:rPr>
        <w:t>, і, як зазначено в CMC, повинна</w:t>
      </w:r>
      <w:r w:rsidR="00EF297E" w:rsidRPr="00200825">
        <w:rPr>
          <w:rFonts w:asciiTheme="majorHAnsi" w:hAnsiTheme="majorHAnsi"/>
          <w:sz w:val="28"/>
          <w:szCs w:val="28"/>
        </w:rPr>
        <w:t xml:space="preserve"> вказувати на вплив матеріалу (зокрема, вплив нестабільності, неоднорідності та розміру зразка) </w:t>
      </w:r>
      <w:r w:rsidR="007E43D8" w:rsidRPr="00200825">
        <w:rPr>
          <w:rFonts w:asciiTheme="majorHAnsi" w:hAnsiTheme="majorHAnsi"/>
          <w:sz w:val="28"/>
          <w:szCs w:val="28"/>
        </w:rPr>
        <w:t>на</w:t>
      </w:r>
      <w:r w:rsidR="00EF297E" w:rsidRPr="00200825">
        <w:rPr>
          <w:rFonts w:asciiTheme="majorHAnsi" w:hAnsiTheme="majorHAnsi"/>
          <w:sz w:val="28"/>
          <w:szCs w:val="28"/>
        </w:rPr>
        <w:t xml:space="preserve"> </w:t>
      </w:r>
      <w:r w:rsidR="0070685E">
        <w:rPr>
          <w:rFonts w:asciiTheme="majorHAnsi" w:hAnsiTheme="majorHAnsi"/>
          <w:sz w:val="28"/>
          <w:szCs w:val="28"/>
        </w:rPr>
        <w:t>непевність</w:t>
      </w:r>
      <w:r w:rsidR="007E43D8" w:rsidRPr="00200825">
        <w:rPr>
          <w:rFonts w:asciiTheme="majorHAnsi" w:hAnsiTheme="majorHAnsi"/>
          <w:sz w:val="28"/>
          <w:szCs w:val="28"/>
        </w:rPr>
        <w:t xml:space="preserve"> вимірювання для кожного</w:t>
      </w:r>
      <w:r w:rsidR="00EF297E" w:rsidRPr="00200825">
        <w:rPr>
          <w:rFonts w:asciiTheme="majorHAnsi" w:hAnsiTheme="majorHAnsi"/>
          <w:sz w:val="28"/>
          <w:szCs w:val="28"/>
        </w:rPr>
        <w:t xml:space="preserve"> сер</w:t>
      </w:r>
      <w:r w:rsidR="007E43D8" w:rsidRPr="00200825">
        <w:rPr>
          <w:rFonts w:asciiTheme="majorHAnsi" w:hAnsiTheme="majorHAnsi"/>
          <w:sz w:val="28"/>
          <w:szCs w:val="28"/>
        </w:rPr>
        <w:t>тифікованого значення</w:t>
      </w:r>
      <w:r w:rsidR="00EF297E" w:rsidRPr="00200825">
        <w:rPr>
          <w:rFonts w:asciiTheme="majorHAnsi" w:hAnsiTheme="majorHAnsi"/>
          <w:sz w:val="28"/>
          <w:szCs w:val="28"/>
        </w:rPr>
        <w:t xml:space="preserve"> властивості</w:t>
      </w:r>
      <w:r w:rsidR="007E43D8" w:rsidRPr="00200825">
        <w:rPr>
          <w:rFonts w:asciiTheme="majorHAnsi" w:hAnsiTheme="majorHAnsi"/>
          <w:sz w:val="28"/>
          <w:szCs w:val="28"/>
        </w:rPr>
        <w:t xml:space="preserve">. </w:t>
      </w:r>
      <w:r w:rsidR="00B02797" w:rsidRPr="00200825">
        <w:rPr>
          <w:rFonts w:asciiTheme="majorHAnsi" w:hAnsiTheme="majorHAnsi"/>
          <w:sz w:val="28"/>
          <w:szCs w:val="28"/>
        </w:rPr>
        <w:t xml:space="preserve">Сертифікат CRM також має містити вказівку щодо передбачуваного застосування та обмеження щодо використання матеріалу. </w:t>
      </w:r>
    </w:p>
    <w:p w14:paraId="5A809ABD" w14:textId="77777777" w:rsidR="00FE42AD" w:rsidRPr="00200825" w:rsidRDefault="00FE42AD" w:rsidP="008E2E99">
      <w:pPr>
        <w:spacing w:after="0"/>
        <w:ind w:left="720"/>
        <w:jc w:val="both"/>
        <w:rPr>
          <w:rFonts w:asciiTheme="majorHAnsi" w:hAnsiTheme="majorHAnsi"/>
          <w:b/>
          <w:sz w:val="28"/>
          <w:szCs w:val="28"/>
        </w:rPr>
      </w:pPr>
    </w:p>
    <w:p w14:paraId="12BD3415" w14:textId="77777777" w:rsidR="00B02797" w:rsidRPr="00200825" w:rsidRDefault="008E2E99" w:rsidP="007D0DBA">
      <w:pPr>
        <w:spacing w:after="0"/>
        <w:ind w:left="720"/>
        <w:jc w:val="both"/>
        <w:rPr>
          <w:rFonts w:asciiTheme="majorHAnsi" w:hAnsiTheme="majorHAnsi"/>
          <w:sz w:val="28"/>
          <w:szCs w:val="28"/>
        </w:rPr>
      </w:pPr>
      <w:r w:rsidRPr="00200825">
        <w:rPr>
          <w:rFonts w:asciiTheme="majorHAnsi" w:hAnsiTheme="majorHAnsi"/>
          <w:b/>
          <w:sz w:val="28"/>
          <w:szCs w:val="28"/>
        </w:rPr>
        <w:t>N6</w:t>
      </w:r>
      <w:r w:rsidR="00B02797" w:rsidRPr="00200825">
        <w:rPr>
          <w:rFonts w:asciiTheme="majorHAnsi" w:hAnsiTheme="majorHAnsi"/>
          <w:b/>
          <w:sz w:val="28"/>
          <w:szCs w:val="28"/>
        </w:rPr>
        <w:t xml:space="preserve"> </w:t>
      </w:r>
      <w:r w:rsidR="00B02797" w:rsidRPr="00200825">
        <w:rPr>
          <w:rFonts w:asciiTheme="majorHAnsi" w:hAnsiTheme="majorHAnsi"/>
          <w:sz w:val="28"/>
          <w:szCs w:val="28"/>
        </w:rPr>
        <w:t xml:space="preserve">CMCs NMI, опубліковані в KCDB, забезпечують унікальну експертну оцінку шляху </w:t>
      </w:r>
      <w:r w:rsidR="0046384C" w:rsidRPr="00200825">
        <w:rPr>
          <w:rFonts w:asciiTheme="majorHAnsi" w:hAnsiTheme="majorHAnsi"/>
          <w:sz w:val="28"/>
          <w:szCs w:val="28"/>
        </w:rPr>
        <w:t>простежуваності</w:t>
      </w:r>
      <w:r w:rsidR="00B02797" w:rsidRPr="00200825">
        <w:rPr>
          <w:rFonts w:asciiTheme="majorHAnsi" w:hAnsiTheme="majorHAnsi"/>
          <w:sz w:val="28"/>
          <w:szCs w:val="28"/>
        </w:rPr>
        <w:t xml:space="preserve"> до SI або, якщо це неможливо</w:t>
      </w:r>
      <w:r w:rsidR="0049733D" w:rsidRPr="00200825">
        <w:rPr>
          <w:rFonts w:asciiTheme="majorHAnsi" w:hAnsiTheme="majorHAnsi"/>
          <w:sz w:val="28"/>
          <w:szCs w:val="28"/>
        </w:rPr>
        <w:t>, узгоджено -</w:t>
      </w:r>
      <w:r w:rsidR="00B02797" w:rsidRPr="00200825">
        <w:rPr>
          <w:rFonts w:asciiTheme="majorHAnsi" w:hAnsiTheme="majorHAnsi"/>
          <w:sz w:val="28"/>
          <w:szCs w:val="28"/>
        </w:rPr>
        <w:t xml:space="preserve"> </w:t>
      </w:r>
      <w:r w:rsidR="0049733D" w:rsidRPr="00200825">
        <w:rPr>
          <w:rFonts w:asciiTheme="majorHAnsi" w:hAnsiTheme="majorHAnsi"/>
          <w:sz w:val="28"/>
          <w:szCs w:val="28"/>
        </w:rPr>
        <w:t xml:space="preserve">на основі </w:t>
      </w:r>
      <w:r w:rsidR="00B02797" w:rsidRPr="00200825">
        <w:rPr>
          <w:rFonts w:asciiTheme="majorHAnsi" w:hAnsiTheme="majorHAnsi"/>
          <w:sz w:val="28"/>
          <w:szCs w:val="28"/>
        </w:rPr>
        <w:t>посилань або відповідних стандартів вищого порядку.</w:t>
      </w:r>
      <w:r w:rsidR="0049733D" w:rsidRPr="00200825">
        <w:rPr>
          <w:rFonts w:asciiTheme="majorHAnsi" w:hAnsiTheme="majorHAnsi"/>
          <w:sz w:val="28"/>
          <w:szCs w:val="28"/>
        </w:rPr>
        <w:t xml:space="preserve"> Асесорам акредитованих лабораторій рекомендують завжди консультуватися з KCDB (http://kcdb.bipm.org) під час перегляду </w:t>
      </w:r>
      <w:r w:rsidR="00C46216">
        <w:rPr>
          <w:rFonts w:asciiTheme="majorHAnsi" w:hAnsiTheme="majorHAnsi"/>
          <w:sz w:val="28"/>
          <w:szCs w:val="28"/>
        </w:rPr>
        <w:t>заяви</w:t>
      </w:r>
      <w:r w:rsidR="0049733D" w:rsidRPr="00200825">
        <w:rPr>
          <w:rFonts w:asciiTheme="majorHAnsi" w:hAnsiTheme="majorHAnsi"/>
          <w:sz w:val="28"/>
          <w:szCs w:val="28"/>
        </w:rPr>
        <w:t xml:space="preserve"> щодо </w:t>
      </w:r>
      <w:r w:rsidR="004363A3">
        <w:rPr>
          <w:rFonts w:asciiTheme="majorHAnsi" w:hAnsiTheme="majorHAnsi"/>
          <w:sz w:val="28"/>
          <w:szCs w:val="28"/>
        </w:rPr>
        <w:t>непевності</w:t>
      </w:r>
      <w:r w:rsidR="0049733D" w:rsidRPr="00200825">
        <w:rPr>
          <w:rFonts w:asciiTheme="majorHAnsi" w:hAnsiTheme="majorHAnsi"/>
          <w:sz w:val="28"/>
          <w:szCs w:val="28"/>
        </w:rPr>
        <w:t xml:space="preserve"> та бюджету лабораторії, щоб переконатися, що заявлені </w:t>
      </w:r>
      <w:r w:rsidR="004363A3">
        <w:rPr>
          <w:rFonts w:asciiTheme="majorHAnsi" w:hAnsiTheme="majorHAnsi"/>
          <w:sz w:val="28"/>
          <w:szCs w:val="28"/>
        </w:rPr>
        <w:t>непевності</w:t>
      </w:r>
      <w:r w:rsidR="0049733D" w:rsidRPr="00200825">
        <w:rPr>
          <w:rFonts w:asciiTheme="majorHAnsi" w:hAnsiTheme="majorHAnsi"/>
          <w:sz w:val="28"/>
          <w:szCs w:val="28"/>
        </w:rPr>
        <w:t xml:space="preserve"> відповідають невизначеностям NMI,</w:t>
      </w:r>
      <w:r w:rsidR="007D0DBA" w:rsidRPr="00200825">
        <w:rPr>
          <w:rFonts w:asciiTheme="majorHAnsi" w:hAnsiTheme="majorHAnsi"/>
          <w:sz w:val="28"/>
          <w:szCs w:val="28"/>
        </w:rPr>
        <w:t xml:space="preserve"> </w:t>
      </w:r>
      <w:r w:rsidR="0049733D" w:rsidRPr="00200825">
        <w:rPr>
          <w:rFonts w:asciiTheme="majorHAnsi" w:hAnsiTheme="majorHAnsi"/>
          <w:sz w:val="28"/>
          <w:szCs w:val="28"/>
        </w:rPr>
        <w:t>через які лабораторія заявляє про простежуваність.</w:t>
      </w:r>
    </w:p>
    <w:p w14:paraId="7F83C0EC" w14:textId="77777777" w:rsidR="007D0DBA" w:rsidRPr="00200825" w:rsidRDefault="007D0DBA" w:rsidP="008E2E99">
      <w:pPr>
        <w:spacing w:after="0"/>
        <w:ind w:left="720"/>
        <w:jc w:val="both"/>
        <w:rPr>
          <w:rFonts w:asciiTheme="majorHAnsi" w:hAnsiTheme="majorHAnsi"/>
          <w:b/>
          <w:sz w:val="28"/>
          <w:szCs w:val="28"/>
        </w:rPr>
      </w:pPr>
    </w:p>
    <w:p w14:paraId="7C8D1FE2" w14:textId="77777777" w:rsidR="008E2E99" w:rsidRPr="00200825" w:rsidRDefault="008E2E99" w:rsidP="008E2E99">
      <w:pPr>
        <w:spacing w:after="0"/>
        <w:ind w:left="720"/>
        <w:jc w:val="both"/>
        <w:rPr>
          <w:rFonts w:asciiTheme="majorHAnsi" w:hAnsiTheme="majorHAnsi"/>
          <w:sz w:val="28"/>
          <w:szCs w:val="28"/>
        </w:rPr>
      </w:pPr>
      <w:r w:rsidRPr="00200825">
        <w:rPr>
          <w:rFonts w:asciiTheme="majorHAnsi" w:hAnsiTheme="majorHAnsi"/>
          <w:b/>
          <w:sz w:val="28"/>
          <w:szCs w:val="28"/>
        </w:rPr>
        <w:t>N7</w:t>
      </w:r>
      <w:r w:rsidR="008C3FC3" w:rsidRPr="00200825">
        <w:rPr>
          <w:rFonts w:asciiTheme="majorHAnsi" w:hAnsiTheme="majorHAnsi"/>
          <w:b/>
          <w:sz w:val="28"/>
          <w:szCs w:val="28"/>
        </w:rPr>
        <w:t xml:space="preserve"> </w:t>
      </w:r>
      <w:r w:rsidR="008C3FC3" w:rsidRPr="00200825">
        <w:rPr>
          <w:rFonts w:asciiTheme="majorHAnsi" w:hAnsiTheme="majorHAnsi"/>
          <w:sz w:val="28"/>
          <w:szCs w:val="28"/>
        </w:rPr>
        <w:t>Національні еталони, що підтримують CMC</w:t>
      </w:r>
      <w:r w:rsidR="002D54A8" w:rsidRPr="00200825">
        <w:rPr>
          <w:rFonts w:asciiTheme="majorHAnsi" w:hAnsiTheme="majorHAnsi"/>
          <w:sz w:val="28"/>
          <w:szCs w:val="28"/>
        </w:rPr>
        <w:t>s</w:t>
      </w:r>
      <w:r w:rsidR="008C3FC3" w:rsidRPr="00200825">
        <w:rPr>
          <w:rFonts w:asciiTheme="majorHAnsi" w:hAnsiTheme="majorHAnsi"/>
          <w:sz w:val="28"/>
          <w:szCs w:val="28"/>
        </w:rPr>
        <w:t xml:space="preserve"> від NMI або DI, або самі є первинними реалізаціями SI, або простежуються до первинних реалізацій SI (або, де це неможливо, </w:t>
      </w:r>
      <w:r w:rsidR="00B56B43" w:rsidRPr="00200825">
        <w:rPr>
          <w:rFonts w:asciiTheme="majorHAnsi" w:hAnsiTheme="majorHAnsi"/>
          <w:sz w:val="28"/>
          <w:szCs w:val="28"/>
        </w:rPr>
        <w:t>узгоджено - на основі посилань або відповідних стандартів вищого порядку</w:t>
      </w:r>
      <w:r w:rsidR="008C3FC3" w:rsidRPr="00200825">
        <w:rPr>
          <w:rFonts w:asciiTheme="majorHAnsi" w:hAnsiTheme="majorHAnsi"/>
          <w:sz w:val="28"/>
          <w:szCs w:val="28"/>
        </w:rPr>
        <w:t xml:space="preserve">) в інших NMI </w:t>
      </w:r>
      <w:r w:rsidR="00B56B43" w:rsidRPr="00200825">
        <w:rPr>
          <w:rFonts w:asciiTheme="majorHAnsi" w:hAnsiTheme="majorHAnsi"/>
          <w:sz w:val="28"/>
          <w:szCs w:val="28"/>
        </w:rPr>
        <w:t>в межах</w:t>
      </w:r>
      <w:r w:rsidR="008C3FC3" w:rsidRPr="00200825">
        <w:rPr>
          <w:rFonts w:asciiTheme="majorHAnsi" w:hAnsiTheme="majorHAnsi"/>
          <w:sz w:val="28"/>
          <w:szCs w:val="28"/>
        </w:rPr>
        <w:t xml:space="preserve"> CIPM MRA</w:t>
      </w:r>
      <w:r w:rsidR="00B56B43" w:rsidRPr="00200825">
        <w:rPr>
          <w:rFonts w:asciiTheme="majorHAnsi" w:hAnsiTheme="majorHAnsi"/>
          <w:sz w:val="28"/>
          <w:szCs w:val="28"/>
        </w:rPr>
        <w:t xml:space="preserve">. Інші лабораторії, які підпадають під дію Угоди ILAC (тобто акредитовані органом з акредитації </w:t>
      </w:r>
      <w:r w:rsidR="00B56B43" w:rsidRPr="00200825">
        <w:rPr>
          <w:rFonts w:asciiTheme="majorHAnsi" w:hAnsiTheme="majorHAnsi"/>
          <w:sz w:val="28"/>
          <w:szCs w:val="28"/>
        </w:rPr>
        <w:lastRenderedPageBreak/>
        <w:t>повного члена ILAC), тако</w:t>
      </w:r>
      <w:r w:rsidR="0046384C" w:rsidRPr="00200825">
        <w:rPr>
          <w:rFonts w:asciiTheme="majorHAnsi" w:hAnsiTheme="majorHAnsi"/>
          <w:sz w:val="28"/>
          <w:szCs w:val="28"/>
        </w:rPr>
        <w:t xml:space="preserve">ж забезпечують визнаний шлях </w:t>
      </w:r>
      <w:r w:rsidR="00B56B43" w:rsidRPr="00200825">
        <w:rPr>
          <w:rFonts w:asciiTheme="majorHAnsi" w:hAnsiTheme="majorHAnsi"/>
          <w:sz w:val="28"/>
          <w:szCs w:val="28"/>
        </w:rPr>
        <w:t>п</w:t>
      </w:r>
      <w:r w:rsidR="00AF46C4" w:rsidRPr="00200825">
        <w:rPr>
          <w:rFonts w:asciiTheme="majorHAnsi" w:hAnsiTheme="majorHAnsi"/>
          <w:sz w:val="28"/>
          <w:szCs w:val="28"/>
        </w:rPr>
        <w:t xml:space="preserve">ростежуваності до SI через </w:t>
      </w:r>
      <w:r w:rsidR="00B56B43" w:rsidRPr="00200825">
        <w:rPr>
          <w:rFonts w:asciiTheme="majorHAnsi" w:hAnsiTheme="majorHAnsi"/>
          <w:sz w:val="28"/>
          <w:szCs w:val="28"/>
        </w:rPr>
        <w:t>реалізацію в</w:t>
      </w:r>
      <w:r w:rsidR="0046384C" w:rsidRPr="00200825">
        <w:rPr>
          <w:rFonts w:asciiTheme="majorHAnsi" w:hAnsiTheme="majorHAnsi"/>
          <w:sz w:val="28"/>
          <w:szCs w:val="28"/>
        </w:rPr>
        <w:t xml:space="preserve"> NMI</w:t>
      </w:r>
      <w:r w:rsidR="00AF46C4" w:rsidRPr="00200825">
        <w:rPr>
          <w:rFonts w:asciiTheme="majorHAnsi" w:hAnsiTheme="majorHAnsi"/>
          <w:sz w:val="28"/>
          <w:szCs w:val="28"/>
        </w:rPr>
        <w:t>s</w:t>
      </w:r>
      <w:r w:rsidR="0046384C" w:rsidRPr="00200825">
        <w:rPr>
          <w:rFonts w:asciiTheme="majorHAnsi" w:hAnsiTheme="majorHAnsi"/>
          <w:sz w:val="28"/>
          <w:szCs w:val="28"/>
        </w:rPr>
        <w:t xml:space="preserve"> </w:t>
      </w:r>
      <w:r w:rsidR="00B56B43" w:rsidRPr="00200825">
        <w:rPr>
          <w:rFonts w:asciiTheme="majorHAnsi" w:hAnsiTheme="majorHAnsi"/>
          <w:sz w:val="28"/>
          <w:szCs w:val="28"/>
        </w:rPr>
        <w:t xml:space="preserve">, </w:t>
      </w:r>
      <w:r w:rsidR="00AF46C4" w:rsidRPr="00200825">
        <w:rPr>
          <w:rFonts w:asciiTheme="majorHAnsi" w:hAnsiTheme="majorHAnsi"/>
          <w:sz w:val="28"/>
          <w:szCs w:val="28"/>
        </w:rPr>
        <w:t>які є підписантами CIPM MRA, відображаючи</w:t>
      </w:r>
      <w:r w:rsidR="00B56B43" w:rsidRPr="00200825">
        <w:rPr>
          <w:rFonts w:asciiTheme="majorHAnsi" w:hAnsiTheme="majorHAnsi"/>
          <w:sz w:val="28"/>
          <w:szCs w:val="28"/>
        </w:rPr>
        <w:t xml:space="preserve"> взаємо</w:t>
      </w:r>
      <w:r w:rsidR="00AF46C4" w:rsidRPr="00200825">
        <w:rPr>
          <w:rFonts w:asciiTheme="majorHAnsi" w:hAnsiTheme="majorHAnsi"/>
          <w:sz w:val="28"/>
          <w:szCs w:val="28"/>
        </w:rPr>
        <w:t>доповнюючі ролі і CIPM MRA, і  Угоди</w:t>
      </w:r>
      <w:r w:rsidR="00B56B43" w:rsidRPr="00200825">
        <w:rPr>
          <w:rFonts w:asciiTheme="majorHAnsi" w:hAnsiTheme="majorHAnsi"/>
          <w:sz w:val="28"/>
          <w:szCs w:val="28"/>
        </w:rPr>
        <w:t xml:space="preserve"> ILAC.</w:t>
      </w:r>
    </w:p>
    <w:p w14:paraId="4D0D0E92" w14:textId="77777777" w:rsidR="008C3FC3" w:rsidRPr="00200825" w:rsidRDefault="008C3FC3" w:rsidP="00FF071D">
      <w:pPr>
        <w:spacing w:after="0"/>
        <w:jc w:val="both"/>
        <w:rPr>
          <w:rFonts w:asciiTheme="majorHAnsi" w:hAnsiTheme="majorHAnsi"/>
          <w:b/>
          <w:sz w:val="28"/>
          <w:szCs w:val="28"/>
        </w:rPr>
      </w:pPr>
    </w:p>
    <w:p w14:paraId="08F4DF6B" w14:textId="77777777" w:rsidR="008E2E99" w:rsidRPr="00200825" w:rsidRDefault="008E2E99" w:rsidP="008E2E99">
      <w:pPr>
        <w:spacing w:after="0"/>
        <w:ind w:left="720"/>
        <w:jc w:val="both"/>
        <w:rPr>
          <w:rFonts w:asciiTheme="majorHAnsi" w:hAnsiTheme="majorHAnsi"/>
          <w:sz w:val="28"/>
          <w:szCs w:val="28"/>
        </w:rPr>
      </w:pPr>
      <w:r w:rsidRPr="00200825">
        <w:rPr>
          <w:rFonts w:asciiTheme="majorHAnsi" w:hAnsiTheme="majorHAnsi"/>
          <w:b/>
          <w:sz w:val="28"/>
          <w:szCs w:val="28"/>
        </w:rPr>
        <w:t>N8</w:t>
      </w:r>
      <w:r w:rsidR="00FF071D" w:rsidRPr="00200825">
        <w:rPr>
          <w:rFonts w:asciiTheme="majorHAnsi" w:hAnsiTheme="majorHAnsi"/>
          <w:b/>
          <w:sz w:val="28"/>
          <w:szCs w:val="28"/>
        </w:rPr>
        <w:t xml:space="preserve"> </w:t>
      </w:r>
      <w:r w:rsidR="00FF071D" w:rsidRPr="00200825">
        <w:rPr>
          <w:rFonts w:asciiTheme="majorHAnsi" w:hAnsiTheme="majorHAnsi"/>
          <w:sz w:val="28"/>
          <w:szCs w:val="28"/>
        </w:rPr>
        <w:t xml:space="preserve">Незважаючи на те, що різні сторони погоджуються, що використання визначень і термінів, наведених у цьому документі, необхідно заохочувати, </w:t>
      </w:r>
      <w:r w:rsidR="009755E5">
        <w:rPr>
          <w:rFonts w:asciiTheme="majorHAnsi" w:hAnsiTheme="majorHAnsi"/>
          <w:sz w:val="28"/>
          <w:szCs w:val="28"/>
        </w:rPr>
        <w:t xml:space="preserve">але без усілякого </w:t>
      </w:r>
      <w:r w:rsidR="00FF071D" w:rsidRPr="00200825">
        <w:rPr>
          <w:rFonts w:asciiTheme="majorHAnsi" w:hAnsiTheme="majorHAnsi"/>
          <w:sz w:val="28"/>
          <w:szCs w:val="28"/>
        </w:rPr>
        <w:t>примусу</w:t>
      </w:r>
      <w:r w:rsidR="00BE3B30" w:rsidRPr="00200825">
        <w:rPr>
          <w:rFonts w:asciiTheme="majorHAnsi" w:hAnsiTheme="majorHAnsi"/>
          <w:sz w:val="28"/>
          <w:szCs w:val="28"/>
        </w:rPr>
        <w:t xml:space="preserve"> щодо їх </w:t>
      </w:r>
      <w:r w:rsidR="009755E5">
        <w:rPr>
          <w:rFonts w:asciiTheme="majorHAnsi" w:hAnsiTheme="majorHAnsi"/>
          <w:sz w:val="28"/>
          <w:szCs w:val="28"/>
        </w:rPr>
        <w:t>вживання</w:t>
      </w:r>
      <w:r w:rsidR="00FF071D" w:rsidRPr="00200825">
        <w:rPr>
          <w:rFonts w:asciiTheme="majorHAnsi" w:hAnsiTheme="majorHAnsi"/>
          <w:sz w:val="28"/>
          <w:szCs w:val="28"/>
        </w:rPr>
        <w:t>.</w:t>
      </w:r>
      <w:r w:rsidR="00BE3B30" w:rsidRPr="00200825">
        <w:rPr>
          <w:rFonts w:asciiTheme="majorHAnsi" w:hAnsiTheme="majorHAnsi"/>
          <w:sz w:val="28"/>
          <w:szCs w:val="28"/>
        </w:rPr>
        <w:t xml:space="preserve"> Ми покладаємо надії, що використані тут терміни є значно покращеними щодо тих, які вживалися раніше, і вони надають додаткові вказівки та допомогу, забезпечуючи узгодженість їх використання, розуміння та застосування в усьому світі. </w:t>
      </w:r>
    </w:p>
    <w:p w14:paraId="352BC052" w14:textId="77777777" w:rsidR="008E2E99" w:rsidRPr="00200825" w:rsidRDefault="008E2E99" w:rsidP="008E2E99">
      <w:pPr>
        <w:spacing w:after="0"/>
        <w:ind w:left="720"/>
        <w:jc w:val="both"/>
        <w:rPr>
          <w:rFonts w:asciiTheme="majorHAnsi" w:hAnsiTheme="majorHAnsi"/>
          <w:sz w:val="28"/>
          <w:szCs w:val="28"/>
        </w:rPr>
      </w:pPr>
    </w:p>
    <w:p w14:paraId="6A7DE952" w14:textId="77777777" w:rsidR="00D37782" w:rsidRPr="00200825" w:rsidRDefault="00D37782" w:rsidP="008E2E99">
      <w:pPr>
        <w:spacing w:after="0"/>
        <w:ind w:left="720"/>
        <w:jc w:val="both"/>
        <w:rPr>
          <w:rFonts w:asciiTheme="majorHAnsi" w:hAnsiTheme="majorHAnsi"/>
          <w:sz w:val="28"/>
          <w:szCs w:val="28"/>
        </w:rPr>
      </w:pPr>
    </w:p>
    <w:p w14:paraId="7B6CDF54" w14:textId="77777777" w:rsidR="00D37782" w:rsidRPr="00200825" w:rsidRDefault="00D37782" w:rsidP="008E2E99">
      <w:pPr>
        <w:spacing w:after="0"/>
        <w:ind w:left="720"/>
        <w:jc w:val="both"/>
        <w:rPr>
          <w:rFonts w:asciiTheme="majorHAnsi" w:hAnsiTheme="majorHAnsi"/>
          <w:sz w:val="28"/>
          <w:szCs w:val="28"/>
        </w:rPr>
      </w:pPr>
    </w:p>
    <w:p w14:paraId="1AC092FA" w14:textId="77777777" w:rsidR="00D37782" w:rsidRPr="00200825" w:rsidRDefault="00D37782" w:rsidP="008E2E99">
      <w:pPr>
        <w:spacing w:after="0"/>
        <w:ind w:left="720"/>
        <w:jc w:val="both"/>
        <w:rPr>
          <w:rFonts w:asciiTheme="majorHAnsi" w:hAnsiTheme="majorHAnsi"/>
          <w:sz w:val="28"/>
          <w:szCs w:val="28"/>
        </w:rPr>
      </w:pPr>
    </w:p>
    <w:p w14:paraId="68D3453A" w14:textId="77777777" w:rsidR="00D37782" w:rsidRPr="00200825" w:rsidRDefault="00D37782" w:rsidP="008E2E99">
      <w:pPr>
        <w:spacing w:after="0"/>
        <w:ind w:left="720"/>
        <w:jc w:val="both"/>
        <w:rPr>
          <w:rFonts w:asciiTheme="majorHAnsi" w:hAnsiTheme="majorHAnsi"/>
          <w:sz w:val="28"/>
          <w:szCs w:val="28"/>
        </w:rPr>
      </w:pPr>
    </w:p>
    <w:p w14:paraId="0C13BC0F" w14:textId="77777777" w:rsidR="00D37782" w:rsidRPr="00200825" w:rsidRDefault="00D37782" w:rsidP="008E2E99">
      <w:pPr>
        <w:spacing w:after="0"/>
        <w:ind w:left="720"/>
        <w:jc w:val="both"/>
        <w:rPr>
          <w:rFonts w:asciiTheme="majorHAnsi" w:hAnsiTheme="majorHAnsi"/>
          <w:sz w:val="28"/>
          <w:szCs w:val="28"/>
        </w:rPr>
      </w:pPr>
    </w:p>
    <w:p w14:paraId="6C2233D5" w14:textId="77777777" w:rsidR="00D37782" w:rsidRPr="00200825" w:rsidRDefault="00D37782" w:rsidP="008E2E99">
      <w:pPr>
        <w:spacing w:after="0"/>
        <w:ind w:left="720"/>
        <w:jc w:val="both"/>
        <w:rPr>
          <w:rFonts w:asciiTheme="majorHAnsi" w:hAnsiTheme="majorHAnsi"/>
          <w:sz w:val="28"/>
          <w:szCs w:val="28"/>
        </w:rPr>
      </w:pPr>
    </w:p>
    <w:p w14:paraId="772B6EE8" w14:textId="77777777" w:rsidR="00D37782" w:rsidRPr="00200825" w:rsidRDefault="00D37782" w:rsidP="008E2E99">
      <w:pPr>
        <w:spacing w:after="0"/>
        <w:ind w:left="720"/>
        <w:jc w:val="both"/>
        <w:rPr>
          <w:rFonts w:asciiTheme="majorHAnsi" w:hAnsiTheme="majorHAnsi"/>
          <w:sz w:val="28"/>
          <w:szCs w:val="28"/>
        </w:rPr>
      </w:pPr>
    </w:p>
    <w:p w14:paraId="584AB649" w14:textId="77777777" w:rsidR="00D37782" w:rsidRPr="00200825" w:rsidRDefault="00D37782" w:rsidP="008E2E99">
      <w:pPr>
        <w:spacing w:after="0"/>
        <w:ind w:left="720"/>
        <w:jc w:val="both"/>
        <w:rPr>
          <w:rFonts w:asciiTheme="majorHAnsi" w:hAnsiTheme="majorHAnsi"/>
          <w:sz w:val="28"/>
          <w:szCs w:val="28"/>
        </w:rPr>
      </w:pPr>
    </w:p>
    <w:p w14:paraId="45400009" w14:textId="77777777" w:rsidR="00D37782" w:rsidRPr="00200825" w:rsidRDefault="00D37782" w:rsidP="008E2E99">
      <w:pPr>
        <w:spacing w:after="0"/>
        <w:ind w:left="720"/>
        <w:jc w:val="both"/>
        <w:rPr>
          <w:rFonts w:asciiTheme="majorHAnsi" w:hAnsiTheme="majorHAnsi"/>
          <w:sz w:val="28"/>
          <w:szCs w:val="28"/>
        </w:rPr>
      </w:pPr>
    </w:p>
    <w:p w14:paraId="434E3A3A" w14:textId="77777777" w:rsidR="00D37782" w:rsidRPr="00200825" w:rsidRDefault="00D37782" w:rsidP="008E2E99">
      <w:pPr>
        <w:spacing w:after="0"/>
        <w:ind w:left="720"/>
        <w:jc w:val="both"/>
        <w:rPr>
          <w:rFonts w:asciiTheme="majorHAnsi" w:hAnsiTheme="majorHAnsi"/>
          <w:sz w:val="28"/>
          <w:szCs w:val="28"/>
        </w:rPr>
      </w:pPr>
    </w:p>
    <w:p w14:paraId="2B1C9E8F" w14:textId="77777777" w:rsidR="00D37782" w:rsidRPr="00200825" w:rsidRDefault="00D37782" w:rsidP="008E2E99">
      <w:pPr>
        <w:spacing w:after="0"/>
        <w:ind w:left="720"/>
        <w:jc w:val="both"/>
        <w:rPr>
          <w:rFonts w:asciiTheme="majorHAnsi" w:hAnsiTheme="majorHAnsi"/>
          <w:sz w:val="28"/>
          <w:szCs w:val="28"/>
        </w:rPr>
      </w:pPr>
    </w:p>
    <w:p w14:paraId="03FBA57A" w14:textId="77777777" w:rsidR="00D37782" w:rsidRPr="00200825" w:rsidRDefault="00D37782" w:rsidP="008E2E99">
      <w:pPr>
        <w:spacing w:after="0"/>
        <w:ind w:left="720"/>
        <w:jc w:val="both"/>
        <w:rPr>
          <w:rFonts w:asciiTheme="majorHAnsi" w:hAnsiTheme="majorHAnsi"/>
          <w:sz w:val="28"/>
          <w:szCs w:val="28"/>
        </w:rPr>
      </w:pPr>
    </w:p>
    <w:p w14:paraId="6807DE68" w14:textId="77777777" w:rsidR="00D37782" w:rsidRPr="00200825" w:rsidRDefault="00D37782" w:rsidP="008E2E99">
      <w:pPr>
        <w:spacing w:after="0"/>
        <w:ind w:left="720"/>
        <w:jc w:val="both"/>
        <w:rPr>
          <w:rFonts w:asciiTheme="majorHAnsi" w:hAnsiTheme="majorHAnsi"/>
          <w:sz w:val="28"/>
          <w:szCs w:val="28"/>
        </w:rPr>
      </w:pPr>
    </w:p>
    <w:p w14:paraId="10EC389D" w14:textId="77777777" w:rsidR="00D37782" w:rsidRPr="00200825" w:rsidRDefault="00D37782" w:rsidP="008E2E99">
      <w:pPr>
        <w:spacing w:after="0"/>
        <w:ind w:left="720"/>
        <w:jc w:val="both"/>
        <w:rPr>
          <w:rFonts w:asciiTheme="majorHAnsi" w:hAnsiTheme="majorHAnsi"/>
          <w:sz w:val="28"/>
          <w:szCs w:val="28"/>
        </w:rPr>
      </w:pPr>
    </w:p>
    <w:p w14:paraId="5144AA0A" w14:textId="77777777" w:rsidR="00D37782" w:rsidRPr="00200825" w:rsidRDefault="00D37782" w:rsidP="008E2E99">
      <w:pPr>
        <w:spacing w:after="0"/>
        <w:ind w:left="720"/>
        <w:jc w:val="both"/>
        <w:rPr>
          <w:rFonts w:asciiTheme="majorHAnsi" w:hAnsiTheme="majorHAnsi"/>
          <w:sz w:val="28"/>
          <w:szCs w:val="28"/>
        </w:rPr>
      </w:pPr>
    </w:p>
    <w:p w14:paraId="523C14A7" w14:textId="77777777" w:rsidR="00D37782" w:rsidRPr="00200825" w:rsidRDefault="00D37782" w:rsidP="008E2E99">
      <w:pPr>
        <w:spacing w:after="0"/>
        <w:ind w:left="720"/>
        <w:jc w:val="both"/>
        <w:rPr>
          <w:rFonts w:asciiTheme="majorHAnsi" w:hAnsiTheme="majorHAnsi"/>
          <w:sz w:val="28"/>
          <w:szCs w:val="28"/>
        </w:rPr>
      </w:pPr>
    </w:p>
    <w:p w14:paraId="65F12E65" w14:textId="77777777" w:rsidR="00D37782" w:rsidRPr="00200825" w:rsidRDefault="00D37782" w:rsidP="008E2E99">
      <w:pPr>
        <w:spacing w:after="0"/>
        <w:ind w:left="720"/>
        <w:jc w:val="both"/>
        <w:rPr>
          <w:rFonts w:asciiTheme="majorHAnsi" w:hAnsiTheme="majorHAnsi"/>
          <w:sz w:val="28"/>
          <w:szCs w:val="28"/>
        </w:rPr>
      </w:pPr>
    </w:p>
    <w:p w14:paraId="708DCFD3" w14:textId="77777777" w:rsidR="00D37782" w:rsidRPr="00200825" w:rsidRDefault="00D37782" w:rsidP="008E2E99">
      <w:pPr>
        <w:spacing w:after="0"/>
        <w:ind w:left="720"/>
        <w:jc w:val="both"/>
        <w:rPr>
          <w:rFonts w:asciiTheme="majorHAnsi" w:hAnsiTheme="majorHAnsi"/>
          <w:sz w:val="28"/>
          <w:szCs w:val="28"/>
        </w:rPr>
      </w:pPr>
    </w:p>
    <w:p w14:paraId="0B6ACA84" w14:textId="77777777" w:rsidR="00D37782" w:rsidRPr="00200825" w:rsidRDefault="00D37782" w:rsidP="008E2E99">
      <w:pPr>
        <w:spacing w:after="0"/>
        <w:ind w:left="720"/>
        <w:jc w:val="both"/>
        <w:rPr>
          <w:rFonts w:asciiTheme="majorHAnsi" w:hAnsiTheme="majorHAnsi"/>
          <w:sz w:val="28"/>
          <w:szCs w:val="28"/>
        </w:rPr>
      </w:pPr>
    </w:p>
    <w:p w14:paraId="1AE7DCFB" w14:textId="77777777" w:rsidR="00D37782" w:rsidRPr="00200825" w:rsidRDefault="00D37782" w:rsidP="008E2E99">
      <w:pPr>
        <w:spacing w:after="0"/>
        <w:ind w:left="720"/>
        <w:jc w:val="both"/>
        <w:rPr>
          <w:rFonts w:asciiTheme="majorHAnsi" w:hAnsiTheme="majorHAnsi"/>
          <w:sz w:val="28"/>
          <w:szCs w:val="28"/>
        </w:rPr>
      </w:pPr>
    </w:p>
    <w:p w14:paraId="4C155769" w14:textId="77777777" w:rsidR="00D37782" w:rsidRPr="00200825" w:rsidRDefault="00D37782" w:rsidP="008E2E99">
      <w:pPr>
        <w:spacing w:after="0"/>
        <w:ind w:left="720"/>
        <w:jc w:val="both"/>
        <w:rPr>
          <w:rFonts w:asciiTheme="majorHAnsi" w:hAnsiTheme="majorHAnsi"/>
          <w:sz w:val="28"/>
          <w:szCs w:val="28"/>
        </w:rPr>
      </w:pPr>
    </w:p>
    <w:p w14:paraId="69C722E5" w14:textId="77777777" w:rsidR="00D37782" w:rsidRPr="00200825" w:rsidRDefault="00D37782" w:rsidP="008E2E99">
      <w:pPr>
        <w:spacing w:after="0"/>
        <w:ind w:left="720"/>
        <w:jc w:val="both"/>
        <w:rPr>
          <w:rFonts w:asciiTheme="majorHAnsi" w:hAnsiTheme="majorHAnsi"/>
          <w:sz w:val="28"/>
          <w:szCs w:val="28"/>
        </w:rPr>
      </w:pPr>
    </w:p>
    <w:p w14:paraId="17929D89" w14:textId="77777777" w:rsidR="00D37782" w:rsidRDefault="00D37782" w:rsidP="008E2E99">
      <w:pPr>
        <w:spacing w:after="0"/>
        <w:ind w:left="720"/>
        <w:jc w:val="both"/>
        <w:rPr>
          <w:rFonts w:asciiTheme="majorHAnsi" w:hAnsiTheme="majorHAnsi"/>
          <w:sz w:val="28"/>
          <w:szCs w:val="28"/>
        </w:rPr>
      </w:pPr>
    </w:p>
    <w:p w14:paraId="6EB24B49" w14:textId="77777777" w:rsidR="00917D83" w:rsidRPr="00200825" w:rsidRDefault="00917D83" w:rsidP="008E2E99">
      <w:pPr>
        <w:spacing w:after="0"/>
        <w:ind w:left="720"/>
        <w:jc w:val="both"/>
        <w:rPr>
          <w:rFonts w:asciiTheme="majorHAnsi" w:hAnsiTheme="majorHAnsi"/>
          <w:sz w:val="28"/>
          <w:szCs w:val="28"/>
        </w:rPr>
      </w:pPr>
    </w:p>
    <w:p w14:paraId="48FF2A67" w14:textId="77777777" w:rsidR="00D37782" w:rsidRPr="00200825" w:rsidRDefault="00D37782" w:rsidP="008E2E99">
      <w:pPr>
        <w:spacing w:after="0"/>
        <w:ind w:left="720"/>
        <w:jc w:val="both"/>
        <w:rPr>
          <w:rFonts w:asciiTheme="majorHAnsi" w:hAnsiTheme="majorHAnsi"/>
          <w:sz w:val="28"/>
          <w:szCs w:val="28"/>
        </w:rPr>
      </w:pPr>
    </w:p>
    <w:p w14:paraId="000A8711" w14:textId="77777777" w:rsidR="000157C2" w:rsidRDefault="000157C2" w:rsidP="00AE494E">
      <w:pPr>
        <w:spacing w:after="0"/>
        <w:jc w:val="both"/>
        <w:rPr>
          <w:rFonts w:asciiTheme="majorHAnsi" w:hAnsiTheme="majorHAnsi"/>
          <w:b/>
          <w:sz w:val="28"/>
          <w:szCs w:val="28"/>
        </w:rPr>
      </w:pPr>
    </w:p>
    <w:p w14:paraId="2EEC3BE4" w14:textId="77777777" w:rsidR="004363A3" w:rsidRDefault="004363A3" w:rsidP="00AE494E">
      <w:pPr>
        <w:spacing w:after="0"/>
        <w:jc w:val="both"/>
        <w:rPr>
          <w:rFonts w:asciiTheme="majorHAnsi" w:hAnsiTheme="majorHAnsi"/>
          <w:b/>
          <w:sz w:val="28"/>
          <w:szCs w:val="28"/>
        </w:rPr>
      </w:pPr>
    </w:p>
    <w:p w14:paraId="37C273D2" w14:textId="77777777" w:rsidR="004363A3" w:rsidRDefault="004363A3" w:rsidP="00AE494E">
      <w:pPr>
        <w:spacing w:after="0"/>
        <w:jc w:val="both"/>
        <w:rPr>
          <w:rFonts w:asciiTheme="majorHAnsi" w:hAnsiTheme="majorHAnsi"/>
          <w:b/>
          <w:sz w:val="28"/>
          <w:szCs w:val="28"/>
        </w:rPr>
      </w:pPr>
    </w:p>
    <w:p w14:paraId="39E2062C" w14:textId="77777777" w:rsidR="00D37782" w:rsidRPr="00200825" w:rsidRDefault="00D37782" w:rsidP="00AE494E">
      <w:pPr>
        <w:spacing w:after="0"/>
        <w:jc w:val="both"/>
        <w:rPr>
          <w:rFonts w:asciiTheme="majorHAnsi" w:hAnsiTheme="majorHAnsi"/>
          <w:b/>
          <w:sz w:val="28"/>
          <w:szCs w:val="28"/>
        </w:rPr>
      </w:pPr>
      <w:r w:rsidRPr="00200825">
        <w:rPr>
          <w:rFonts w:asciiTheme="majorHAnsi" w:hAnsiTheme="majorHAnsi"/>
          <w:b/>
          <w:sz w:val="28"/>
          <w:szCs w:val="28"/>
        </w:rPr>
        <w:lastRenderedPageBreak/>
        <w:t>Додаток В</w:t>
      </w:r>
    </w:p>
    <w:p w14:paraId="2F139962" w14:textId="77777777" w:rsidR="00AE494E" w:rsidRPr="00200825" w:rsidRDefault="00AE494E" w:rsidP="00AE494E">
      <w:pPr>
        <w:spacing w:after="0"/>
        <w:jc w:val="both"/>
        <w:rPr>
          <w:rFonts w:asciiTheme="majorHAnsi" w:hAnsiTheme="majorHAnsi"/>
          <w:sz w:val="28"/>
          <w:szCs w:val="28"/>
        </w:rPr>
      </w:pPr>
    </w:p>
    <w:p w14:paraId="1DEFFE73" w14:textId="77777777" w:rsidR="00AE494E" w:rsidRPr="00200825" w:rsidRDefault="00AE494E" w:rsidP="00AE494E">
      <w:pPr>
        <w:spacing w:after="0"/>
        <w:jc w:val="both"/>
        <w:rPr>
          <w:rFonts w:asciiTheme="majorHAnsi" w:hAnsiTheme="majorHAnsi"/>
          <w:sz w:val="28"/>
          <w:szCs w:val="28"/>
        </w:rPr>
      </w:pPr>
      <w:r w:rsidRPr="00200825">
        <w:rPr>
          <w:rFonts w:asciiTheme="majorHAnsi" w:hAnsiTheme="majorHAnsi"/>
          <w:b/>
          <w:sz w:val="28"/>
          <w:szCs w:val="28"/>
        </w:rPr>
        <w:t xml:space="preserve">Таблиця </w:t>
      </w:r>
      <w:r w:rsidR="00C10C87" w:rsidRPr="00200825">
        <w:rPr>
          <w:rFonts w:asciiTheme="majorHAnsi" w:hAnsiTheme="majorHAnsi"/>
          <w:b/>
          <w:sz w:val="28"/>
          <w:szCs w:val="28"/>
        </w:rPr>
        <w:t>коригувань</w:t>
      </w:r>
      <w:r w:rsidR="00C10C87" w:rsidRPr="00200825">
        <w:rPr>
          <w:rFonts w:asciiTheme="majorHAnsi" w:hAnsiTheme="majorHAnsi"/>
          <w:sz w:val="28"/>
          <w:szCs w:val="28"/>
        </w:rPr>
        <w:t xml:space="preserve">  - </w:t>
      </w:r>
      <w:r w:rsidRPr="00200825">
        <w:rPr>
          <w:rFonts w:asciiTheme="majorHAnsi" w:hAnsiTheme="majorHAnsi"/>
          <w:sz w:val="28"/>
          <w:szCs w:val="28"/>
        </w:rPr>
        <w:t>у таблиці наведено підсумок ключових змін у цьому документі порівняно з попередньою версією.</w:t>
      </w:r>
    </w:p>
    <w:p w14:paraId="1B013DF3" w14:textId="77777777" w:rsidR="00C10C87" w:rsidRPr="00200825" w:rsidRDefault="00C10C87" w:rsidP="00AE494E">
      <w:pPr>
        <w:spacing w:after="0"/>
        <w:jc w:val="both"/>
        <w:rPr>
          <w:rFonts w:asciiTheme="majorHAnsi" w:hAnsiTheme="majorHAnsi"/>
          <w:sz w:val="28"/>
          <w:szCs w:val="28"/>
        </w:rPr>
      </w:pPr>
    </w:p>
    <w:tbl>
      <w:tblPr>
        <w:tblStyle w:val="a5"/>
        <w:tblW w:w="0" w:type="auto"/>
        <w:tblLook w:val="04A0" w:firstRow="1" w:lastRow="0" w:firstColumn="1" w:lastColumn="0" w:noHBand="0" w:noVBand="1"/>
      </w:tblPr>
      <w:tblGrid>
        <w:gridCol w:w="4955"/>
        <w:gridCol w:w="4956"/>
      </w:tblGrid>
      <w:tr w:rsidR="00C10C87" w:rsidRPr="00200825" w14:paraId="3DF56564" w14:textId="77777777" w:rsidTr="00C10C87">
        <w:tc>
          <w:tcPr>
            <w:tcW w:w="4955" w:type="dxa"/>
          </w:tcPr>
          <w:p w14:paraId="19B24149" w14:textId="77777777" w:rsidR="00C10C87" w:rsidRPr="00200825" w:rsidRDefault="00C10C87" w:rsidP="00AE494E">
            <w:pPr>
              <w:jc w:val="both"/>
              <w:rPr>
                <w:rFonts w:asciiTheme="majorHAnsi" w:hAnsiTheme="majorHAnsi"/>
                <w:b/>
                <w:sz w:val="28"/>
                <w:szCs w:val="28"/>
              </w:rPr>
            </w:pPr>
            <w:r w:rsidRPr="00200825">
              <w:rPr>
                <w:rFonts w:asciiTheme="majorHAnsi" w:hAnsiTheme="majorHAnsi"/>
                <w:b/>
                <w:sz w:val="28"/>
                <w:szCs w:val="28"/>
              </w:rPr>
              <w:t>Розділ</w:t>
            </w:r>
          </w:p>
        </w:tc>
        <w:tc>
          <w:tcPr>
            <w:tcW w:w="4956" w:type="dxa"/>
          </w:tcPr>
          <w:p w14:paraId="667F5539" w14:textId="77777777" w:rsidR="00C10C87" w:rsidRPr="00200825" w:rsidRDefault="00C10C87" w:rsidP="00AE494E">
            <w:pPr>
              <w:jc w:val="both"/>
              <w:rPr>
                <w:rFonts w:asciiTheme="majorHAnsi" w:hAnsiTheme="majorHAnsi"/>
                <w:b/>
                <w:sz w:val="28"/>
                <w:szCs w:val="28"/>
              </w:rPr>
            </w:pPr>
            <w:r w:rsidRPr="00200825">
              <w:rPr>
                <w:rFonts w:asciiTheme="majorHAnsi" w:hAnsiTheme="majorHAnsi"/>
                <w:b/>
                <w:sz w:val="28"/>
                <w:szCs w:val="28"/>
              </w:rPr>
              <w:t>Поправка</w:t>
            </w:r>
          </w:p>
        </w:tc>
      </w:tr>
      <w:tr w:rsidR="00C10C87" w:rsidRPr="00200825" w14:paraId="06621D84" w14:textId="77777777" w:rsidTr="00C10C87">
        <w:tc>
          <w:tcPr>
            <w:tcW w:w="4955" w:type="dxa"/>
          </w:tcPr>
          <w:p w14:paraId="0A3F8692" w14:textId="77777777" w:rsidR="00C10C87" w:rsidRPr="00200825" w:rsidRDefault="00C10C87" w:rsidP="00AE494E">
            <w:pPr>
              <w:jc w:val="both"/>
              <w:rPr>
                <w:rFonts w:asciiTheme="majorHAnsi" w:hAnsiTheme="majorHAnsi"/>
                <w:sz w:val="28"/>
                <w:szCs w:val="28"/>
              </w:rPr>
            </w:pPr>
            <w:r w:rsidRPr="00200825">
              <w:rPr>
                <w:rFonts w:asciiTheme="majorHAnsi" w:hAnsiTheme="majorHAnsi"/>
                <w:sz w:val="28"/>
                <w:szCs w:val="28"/>
              </w:rPr>
              <w:t>Про вступний текст щодо ILAC</w:t>
            </w:r>
          </w:p>
        </w:tc>
        <w:tc>
          <w:tcPr>
            <w:tcW w:w="4956" w:type="dxa"/>
          </w:tcPr>
          <w:p w14:paraId="421A4F54" w14:textId="77777777" w:rsidR="00C10C87" w:rsidRPr="00200825" w:rsidRDefault="00C10C87" w:rsidP="00AE494E">
            <w:pPr>
              <w:jc w:val="both"/>
              <w:rPr>
                <w:rFonts w:asciiTheme="majorHAnsi" w:hAnsiTheme="majorHAnsi"/>
                <w:sz w:val="28"/>
                <w:szCs w:val="28"/>
              </w:rPr>
            </w:pPr>
            <w:r w:rsidRPr="00200825">
              <w:rPr>
                <w:rFonts w:asciiTheme="majorHAnsi" w:hAnsiTheme="majorHAnsi"/>
                <w:sz w:val="28"/>
                <w:szCs w:val="28"/>
              </w:rPr>
              <w:t>Замінено новою версією</w:t>
            </w:r>
          </w:p>
        </w:tc>
      </w:tr>
      <w:tr w:rsidR="00C10C87" w:rsidRPr="00200825" w14:paraId="087794A4" w14:textId="77777777" w:rsidTr="00C10C87">
        <w:tc>
          <w:tcPr>
            <w:tcW w:w="4955" w:type="dxa"/>
          </w:tcPr>
          <w:p w14:paraId="7D12F5D0" w14:textId="77777777" w:rsidR="00C10C87" w:rsidRPr="00200825" w:rsidRDefault="00C10C87" w:rsidP="00AE494E">
            <w:pPr>
              <w:jc w:val="both"/>
              <w:rPr>
                <w:rFonts w:asciiTheme="majorHAnsi" w:hAnsiTheme="majorHAnsi"/>
                <w:sz w:val="28"/>
                <w:szCs w:val="28"/>
              </w:rPr>
            </w:pPr>
            <w:r w:rsidRPr="00200825">
              <w:rPr>
                <w:rFonts w:asciiTheme="majorHAnsi" w:hAnsiTheme="majorHAnsi"/>
                <w:sz w:val="28"/>
                <w:szCs w:val="28"/>
              </w:rPr>
              <w:t xml:space="preserve">Авторський текст </w:t>
            </w:r>
          </w:p>
        </w:tc>
        <w:tc>
          <w:tcPr>
            <w:tcW w:w="4956" w:type="dxa"/>
          </w:tcPr>
          <w:p w14:paraId="5B6D3ADA" w14:textId="77777777" w:rsidR="00C10C87" w:rsidRPr="00200825" w:rsidRDefault="00C10C87" w:rsidP="00AE494E">
            <w:pPr>
              <w:jc w:val="both"/>
              <w:rPr>
                <w:rFonts w:asciiTheme="majorHAnsi" w:hAnsiTheme="majorHAnsi"/>
                <w:sz w:val="28"/>
                <w:szCs w:val="28"/>
              </w:rPr>
            </w:pPr>
            <w:r w:rsidRPr="00200825">
              <w:rPr>
                <w:rFonts w:asciiTheme="majorHAnsi" w:hAnsiTheme="majorHAnsi"/>
                <w:sz w:val="28"/>
                <w:szCs w:val="28"/>
              </w:rPr>
              <w:t>Замінено новою версією</w:t>
            </w:r>
          </w:p>
        </w:tc>
      </w:tr>
      <w:tr w:rsidR="00C10C87" w:rsidRPr="00200825" w14:paraId="1143301D" w14:textId="77777777" w:rsidTr="00C10C87">
        <w:tc>
          <w:tcPr>
            <w:tcW w:w="4955" w:type="dxa"/>
          </w:tcPr>
          <w:p w14:paraId="6E8E0A14" w14:textId="77777777" w:rsidR="00C10C87" w:rsidRPr="00200825" w:rsidRDefault="00C10C87" w:rsidP="00AE494E">
            <w:pPr>
              <w:jc w:val="both"/>
              <w:rPr>
                <w:rFonts w:asciiTheme="majorHAnsi" w:hAnsiTheme="majorHAnsi"/>
                <w:sz w:val="28"/>
                <w:szCs w:val="28"/>
              </w:rPr>
            </w:pPr>
            <w:r w:rsidRPr="00200825">
              <w:rPr>
                <w:rFonts w:asciiTheme="majorHAnsi" w:hAnsiTheme="majorHAnsi"/>
                <w:sz w:val="28"/>
                <w:szCs w:val="28"/>
              </w:rPr>
              <w:t>Мета та сфера</w:t>
            </w:r>
          </w:p>
        </w:tc>
        <w:tc>
          <w:tcPr>
            <w:tcW w:w="4956" w:type="dxa"/>
          </w:tcPr>
          <w:p w14:paraId="5A258B70" w14:textId="77777777" w:rsidR="00C10C87" w:rsidRPr="00200825" w:rsidRDefault="00C10C87" w:rsidP="00C10C87">
            <w:pPr>
              <w:jc w:val="both"/>
              <w:rPr>
                <w:rFonts w:asciiTheme="majorHAnsi" w:hAnsiTheme="majorHAnsi"/>
                <w:sz w:val="28"/>
                <w:szCs w:val="28"/>
              </w:rPr>
            </w:pPr>
            <w:r w:rsidRPr="00200825">
              <w:rPr>
                <w:rFonts w:asciiTheme="majorHAnsi" w:hAnsiTheme="majorHAnsi"/>
                <w:sz w:val="28"/>
                <w:szCs w:val="28"/>
              </w:rPr>
              <w:t>Тепер документ готовий для застосування до всіх CAB</w:t>
            </w:r>
            <w:r w:rsidR="00A4743A" w:rsidRPr="00200825">
              <w:rPr>
                <w:rFonts w:asciiTheme="majorHAnsi" w:hAnsiTheme="majorHAnsi"/>
                <w:sz w:val="28"/>
                <w:szCs w:val="28"/>
              </w:rPr>
              <w:t>, які виконують</w:t>
            </w:r>
          </w:p>
          <w:p w14:paraId="6D63305C" w14:textId="77777777" w:rsidR="00C10C87" w:rsidRPr="00200825" w:rsidRDefault="00A4743A" w:rsidP="00C10C87">
            <w:pPr>
              <w:jc w:val="both"/>
              <w:rPr>
                <w:rFonts w:asciiTheme="majorHAnsi" w:hAnsiTheme="majorHAnsi"/>
                <w:sz w:val="28"/>
                <w:szCs w:val="28"/>
              </w:rPr>
            </w:pPr>
            <w:r w:rsidRPr="00200825">
              <w:rPr>
                <w:rFonts w:asciiTheme="majorHAnsi" w:hAnsiTheme="majorHAnsi"/>
                <w:sz w:val="28"/>
                <w:szCs w:val="28"/>
              </w:rPr>
              <w:t>калібрування</w:t>
            </w:r>
          </w:p>
        </w:tc>
      </w:tr>
      <w:tr w:rsidR="00C10C87" w:rsidRPr="00200825" w14:paraId="0D8691FA" w14:textId="77777777" w:rsidTr="00C10C87">
        <w:tc>
          <w:tcPr>
            <w:tcW w:w="4955" w:type="dxa"/>
          </w:tcPr>
          <w:p w14:paraId="59997138" w14:textId="77777777" w:rsidR="00C10C87" w:rsidRPr="00200825" w:rsidRDefault="00A4743A" w:rsidP="00AE494E">
            <w:pPr>
              <w:jc w:val="both"/>
              <w:rPr>
                <w:rFonts w:asciiTheme="majorHAnsi" w:hAnsiTheme="majorHAnsi"/>
                <w:sz w:val="28"/>
                <w:szCs w:val="28"/>
              </w:rPr>
            </w:pPr>
            <w:r w:rsidRPr="00200825">
              <w:rPr>
                <w:rFonts w:asciiTheme="majorHAnsi" w:hAnsiTheme="majorHAnsi"/>
                <w:sz w:val="28"/>
                <w:szCs w:val="28"/>
              </w:rPr>
              <w:t xml:space="preserve">Політика ILAC </w:t>
            </w:r>
          </w:p>
        </w:tc>
        <w:tc>
          <w:tcPr>
            <w:tcW w:w="4956" w:type="dxa"/>
          </w:tcPr>
          <w:p w14:paraId="6E996362" w14:textId="77777777" w:rsidR="00C10C87" w:rsidRPr="00200825" w:rsidRDefault="00A4743A" w:rsidP="00354740">
            <w:pPr>
              <w:jc w:val="both"/>
              <w:rPr>
                <w:rFonts w:asciiTheme="majorHAnsi" w:hAnsiTheme="majorHAnsi"/>
                <w:sz w:val="28"/>
                <w:szCs w:val="28"/>
              </w:rPr>
            </w:pPr>
            <w:r w:rsidRPr="00200825">
              <w:rPr>
                <w:rFonts w:asciiTheme="majorHAnsi" w:hAnsiTheme="majorHAnsi"/>
                <w:sz w:val="28"/>
                <w:szCs w:val="28"/>
              </w:rPr>
              <w:t xml:space="preserve">Політика уточнена та обмежена калібруванням. Отже, включення вимог до </w:t>
            </w:r>
            <w:r w:rsidRPr="00200825">
              <w:rPr>
                <w:rFonts w:asciiTheme="majorHAnsi" w:hAnsiTheme="majorHAnsi"/>
                <w:sz w:val="28"/>
                <w:szCs w:val="28"/>
                <w:lang w:val="en-US"/>
              </w:rPr>
              <w:t>RMP</w:t>
            </w:r>
            <w:r w:rsidR="00984244" w:rsidRPr="00200825">
              <w:rPr>
                <w:rFonts w:asciiTheme="majorHAnsi" w:hAnsiTheme="majorHAnsi"/>
                <w:sz w:val="28"/>
                <w:szCs w:val="28"/>
              </w:rPr>
              <w:t xml:space="preserve"> зменшено</w:t>
            </w:r>
          </w:p>
        </w:tc>
      </w:tr>
      <w:tr w:rsidR="00C10C87" w:rsidRPr="00200825" w14:paraId="4950BF25" w14:textId="77777777" w:rsidTr="00C10C87">
        <w:tc>
          <w:tcPr>
            <w:tcW w:w="4955" w:type="dxa"/>
          </w:tcPr>
          <w:p w14:paraId="7E9AE288" w14:textId="77777777" w:rsidR="00C10C87" w:rsidRPr="00200825" w:rsidRDefault="00A4743A" w:rsidP="00AE494E">
            <w:pPr>
              <w:jc w:val="both"/>
              <w:rPr>
                <w:rFonts w:asciiTheme="majorHAnsi" w:hAnsiTheme="majorHAnsi"/>
                <w:sz w:val="28"/>
                <w:szCs w:val="28"/>
              </w:rPr>
            </w:pPr>
            <w:r w:rsidRPr="00200825">
              <w:rPr>
                <w:rFonts w:asciiTheme="majorHAnsi" w:hAnsiTheme="majorHAnsi"/>
                <w:sz w:val="28"/>
                <w:szCs w:val="28"/>
                <w:lang w:val="en-US"/>
              </w:rPr>
              <w:t>5</w:t>
            </w:r>
            <w:r w:rsidRPr="00200825">
              <w:rPr>
                <w:rFonts w:asciiTheme="majorHAnsi" w:hAnsiTheme="majorHAnsi"/>
                <w:sz w:val="28"/>
                <w:szCs w:val="28"/>
              </w:rPr>
              <w:t>.1</w:t>
            </w:r>
          </w:p>
        </w:tc>
        <w:tc>
          <w:tcPr>
            <w:tcW w:w="4956" w:type="dxa"/>
          </w:tcPr>
          <w:p w14:paraId="16F17CE3" w14:textId="77777777" w:rsidR="00C10C87" w:rsidRPr="00200825" w:rsidRDefault="00A4743A" w:rsidP="00AE494E">
            <w:pPr>
              <w:jc w:val="both"/>
              <w:rPr>
                <w:rFonts w:asciiTheme="majorHAnsi" w:hAnsiTheme="majorHAnsi"/>
                <w:sz w:val="28"/>
                <w:szCs w:val="28"/>
              </w:rPr>
            </w:pPr>
            <w:r w:rsidRPr="00200825">
              <w:rPr>
                <w:rFonts w:asciiTheme="majorHAnsi" w:hAnsiTheme="majorHAnsi"/>
                <w:sz w:val="28"/>
                <w:szCs w:val="28"/>
              </w:rPr>
              <w:t>Політику оновлено відповідно до останньо</w:t>
            </w:r>
            <w:r w:rsidR="00EE1206" w:rsidRPr="00200825">
              <w:rPr>
                <w:rFonts w:asciiTheme="majorHAnsi" w:hAnsiTheme="majorHAnsi"/>
                <w:sz w:val="28"/>
                <w:szCs w:val="28"/>
              </w:rPr>
              <w:t>го стандарту ISO/IEC 17011:2017</w:t>
            </w:r>
          </w:p>
        </w:tc>
      </w:tr>
      <w:tr w:rsidR="00C10C87" w:rsidRPr="00200825" w14:paraId="56644A54" w14:textId="77777777" w:rsidTr="00C10C87">
        <w:tc>
          <w:tcPr>
            <w:tcW w:w="4955" w:type="dxa"/>
          </w:tcPr>
          <w:p w14:paraId="39C1CE80" w14:textId="77777777" w:rsidR="00C10C87" w:rsidRPr="00200825" w:rsidRDefault="00A4743A" w:rsidP="00AE494E">
            <w:pPr>
              <w:jc w:val="both"/>
              <w:rPr>
                <w:rFonts w:asciiTheme="majorHAnsi" w:hAnsiTheme="majorHAnsi"/>
                <w:sz w:val="28"/>
                <w:szCs w:val="28"/>
              </w:rPr>
            </w:pPr>
            <w:r w:rsidRPr="00200825">
              <w:rPr>
                <w:rFonts w:asciiTheme="majorHAnsi" w:hAnsiTheme="majorHAnsi"/>
                <w:sz w:val="28"/>
                <w:szCs w:val="28"/>
              </w:rPr>
              <w:t xml:space="preserve">5.3 </w:t>
            </w:r>
          </w:p>
        </w:tc>
        <w:tc>
          <w:tcPr>
            <w:tcW w:w="4956" w:type="dxa"/>
          </w:tcPr>
          <w:p w14:paraId="5B1BD918" w14:textId="77777777" w:rsidR="00C10C87" w:rsidRPr="00200825" w:rsidRDefault="00A4743A" w:rsidP="00EE1206">
            <w:pPr>
              <w:jc w:val="both"/>
              <w:rPr>
                <w:rFonts w:asciiTheme="majorHAnsi" w:hAnsiTheme="majorHAnsi"/>
                <w:sz w:val="28"/>
                <w:szCs w:val="28"/>
              </w:rPr>
            </w:pPr>
            <w:r w:rsidRPr="00200825">
              <w:rPr>
                <w:rFonts w:asciiTheme="majorHAnsi" w:hAnsiTheme="majorHAnsi"/>
                <w:sz w:val="28"/>
                <w:szCs w:val="28"/>
              </w:rPr>
              <w:t xml:space="preserve">Незначні зміни до вимог щодо розширеної </w:t>
            </w:r>
            <w:r w:rsidR="00763888">
              <w:rPr>
                <w:rFonts w:asciiTheme="majorHAnsi" w:hAnsiTheme="majorHAnsi"/>
                <w:sz w:val="28"/>
                <w:szCs w:val="28"/>
              </w:rPr>
              <w:t>непевності</w:t>
            </w:r>
            <w:r w:rsidRPr="00200825">
              <w:rPr>
                <w:rFonts w:asciiTheme="majorHAnsi" w:hAnsiTheme="majorHAnsi"/>
                <w:sz w:val="28"/>
                <w:szCs w:val="28"/>
              </w:rPr>
              <w:t xml:space="preserve"> та </w:t>
            </w:r>
            <w:r w:rsidR="00EE1206" w:rsidRPr="00200825">
              <w:rPr>
                <w:rFonts w:asciiTheme="majorHAnsi" w:hAnsiTheme="majorHAnsi"/>
                <w:sz w:val="28"/>
                <w:szCs w:val="28"/>
              </w:rPr>
              <w:t>скасування</w:t>
            </w:r>
            <w:r w:rsidRPr="00200825">
              <w:rPr>
                <w:rFonts w:asciiTheme="majorHAnsi" w:hAnsiTheme="majorHAnsi"/>
                <w:sz w:val="28"/>
                <w:szCs w:val="28"/>
              </w:rPr>
              <w:t xml:space="preserve"> вимог</w:t>
            </w:r>
            <w:r w:rsidR="00EE1206" w:rsidRPr="00200825">
              <w:rPr>
                <w:rFonts w:asciiTheme="majorHAnsi" w:hAnsiTheme="majorHAnsi"/>
                <w:sz w:val="28"/>
                <w:szCs w:val="28"/>
              </w:rPr>
              <w:t xml:space="preserve"> щодо невикористання ppm та ppb</w:t>
            </w:r>
          </w:p>
        </w:tc>
      </w:tr>
      <w:tr w:rsidR="00C10C87" w:rsidRPr="00200825" w14:paraId="06EEF0E6" w14:textId="77777777" w:rsidTr="00C10C87">
        <w:tc>
          <w:tcPr>
            <w:tcW w:w="4955" w:type="dxa"/>
          </w:tcPr>
          <w:p w14:paraId="608465D6" w14:textId="77777777" w:rsidR="00C10C87" w:rsidRPr="00200825" w:rsidRDefault="00EE1206" w:rsidP="00AE494E">
            <w:pPr>
              <w:jc w:val="both"/>
              <w:rPr>
                <w:rFonts w:asciiTheme="majorHAnsi" w:hAnsiTheme="majorHAnsi"/>
                <w:sz w:val="28"/>
                <w:szCs w:val="28"/>
              </w:rPr>
            </w:pPr>
            <w:r w:rsidRPr="00200825">
              <w:rPr>
                <w:rFonts w:asciiTheme="majorHAnsi" w:hAnsiTheme="majorHAnsi"/>
                <w:sz w:val="28"/>
                <w:szCs w:val="28"/>
              </w:rPr>
              <w:t>5.4</w:t>
            </w:r>
          </w:p>
        </w:tc>
        <w:tc>
          <w:tcPr>
            <w:tcW w:w="4956" w:type="dxa"/>
          </w:tcPr>
          <w:p w14:paraId="52439D1B" w14:textId="77777777" w:rsidR="00C10C87" w:rsidRPr="00200825" w:rsidRDefault="00AA03EF" w:rsidP="00AE494E">
            <w:pPr>
              <w:jc w:val="both"/>
              <w:rPr>
                <w:rFonts w:asciiTheme="majorHAnsi" w:hAnsiTheme="majorHAnsi"/>
                <w:sz w:val="28"/>
                <w:szCs w:val="28"/>
              </w:rPr>
            </w:pPr>
            <w:r w:rsidRPr="00200825">
              <w:rPr>
                <w:rFonts w:asciiTheme="majorHAnsi" w:hAnsiTheme="majorHAnsi"/>
                <w:sz w:val="28"/>
                <w:szCs w:val="28"/>
              </w:rPr>
              <w:t xml:space="preserve">Попередній пункт 5.4 </w:t>
            </w:r>
            <w:r w:rsidR="006D1F5A" w:rsidRPr="00200825">
              <w:rPr>
                <w:rFonts w:asciiTheme="majorHAnsi" w:hAnsiTheme="majorHAnsi"/>
                <w:sz w:val="28"/>
                <w:szCs w:val="28"/>
              </w:rPr>
              <w:t>видалено, а до 5.3 додано одне речення, щоб охопити зміст попереднього пункту 5.4.</w:t>
            </w:r>
          </w:p>
        </w:tc>
      </w:tr>
      <w:tr w:rsidR="00C10C87" w:rsidRPr="00200825" w14:paraId="6A032B4A" w14:textId="77777777" w:rsidTr="00C10C87">
        <w:tc>
          <w:tcPr>
            <w:tcW w:w="4955" w:type="dxa"/>
          </w:tcPr>
          <w:p w14:paraId="179C6419" w14:textId="77777777" w:rsidR="00C10C87" w:rsidRPr="00200825" w:rsidRDefault="00AA03EF" w:rsidP="00AE494E">
            <w:pPr>
              <w:jc w:val="both"/>
              <w:rPr>
                <w:rFonts w:asciiTheme="majorHAnsi" w:hAnsiTheme="majorHAnsi"/>
                <w:sz w:val="28"/>
                <w:szCs w:val="28"/>
              </w:rPr>
            </w:pPr>
            <w:r w:rsidRPr="00200825">
              <w:rPr>
                <w:rFonts w:asciiTheme="majorHAnsi" w:hAnsiTheme="majorHAnsi"/>
                <w:sz w:val="28"/>
                <w:szCs w:val="28"/>
              </w:rPr>
              <w:t>6.1</w:t>
            </w:r>
          </w:p>
        </w:tc>
        <w:tc>
          <w:tcPr>
            <w:tcW w:w="4956" w:type="dxa"/>
          </w:tcPr>
          <w:p w14:paraId="65B8E3ED" w14:textId="77777777" w:rsidR="00461816" w:rsidRPr="00200825" w:rsidRDefault="00461816" w:rsidP="00461816">
            <w:pPr>
              <w:jc w:val="both"/>
              <w:rPr>
                <w:rFonts w:asciiTheme="majorHAnsi" w:hAnsiTheme="majorHAnsi"/>
                <w:sz w:val="28"/>
                <w:szCs w:val="28"/>
              </w:rPr>
            </w:pPr>
            <w:r w:rsidRPr="00200825">
              <w:rPr>
                <w:rFonts w:asciiTheme="majorHAnsi" w:hAnsiTheme="majorHAnsi"/>
                <w:sz w:val="28"/>
                <w:szCs w:val="28"/>
              </w:rPr>
              <w:t xml:space="preserve">Відмову від відповідальності, що дозволяє не повідомляти </w:t>
            </w:r>
            <w:r w:rsidR="0070685E">
              <w:rPr>
                <w:rFonts w:asciiTheme="majorHAnsi" w:hAnsiTheme="majorHAnsi"/>
                <w:sz w:val="28"/>
                <w:szCs w:val="28"/>
              </w:rPr>
              <w:t>непевність</w:t>
            </w:r>
            <w:r w:rsidRPr="00200825">
              <w:rPr>
                <w:rFonts w:asciiTheme="majorHAnsi" w:hAnsiTheme="majorHAnsi"/>
                <w:sz w:val="28"/>
                <w:szCs w:val="28"/>
              </w:rPr>
              <w:t xml:space="preserve"> в калібруваннях,</w:t>
            </w:r>
          </w:p>
          <w:p w14:paraId="010CFAEE" w14:textId="77777777" w:rsidR="00C10C87" w:rsidRPr="00200825" w:rsidRDefault="00461816" w:rsidP="00461816">
            <w:pPr>
              <w:jc w:val="both"/>
              <w:rPr>
                <w:rFonts w:asciiTheme="majorHAnsi" w:hAnsiTheme="majorHAnsi"/>
                <w:sz w:val="28"/>
                <w:szCs w:val="28"/>
              </w:rPr>
            </w:pPr>
            <w:r w:rsidRPr="00200825">
              <w:rPr>
                <w:rFonts w:asciiTheme="majorHAnsi" w:hAnsiTheme="majorHAnsi"/>
                <w:sz w:val="28"/>
                <w:szCs w:val="28"/>
              </w:rPr>
              <w:t>видалено через зміни в ISO/IEC 17025:2017</w:t>
            </w:r>
          </w:p>
        </w:tc>
      </w:tr>
      <w:tr w:rsidR="00C10C87" w:rsidRPr="00200825" w14:paraId="5DBD0AEE" w14:textId="77777777" w:rsidTr="00C10C87">
        <w:tc>
          <w:tcPr>
            <w:tcW w:w="4955" w:type="dxa"/>
          </w:tcPr>
          <w:p w14:paraId="16A0A3E2" w14:textId="77777777" w:rsidR="00C10C87" w:rsidRPr="00200825" w:rsidRDefault="00461816" w:rsidP="00AE494E">
            <w:pPr>
              <w:jc w:val="both"/>
              <w:rPr>
                <w:rFonts w:asciiTheme="majorHAnsi" w:hAnsiTheme="majorHAnsi"/>
                <w:sz w:val="28"/>
                <w:szCs w:val="28"/>
              </w:rPr>
            </w:pPr>
            <w:r w:rsidRPr="00200825">
              <w:rPr>
                <w:rFonts w:asciiTheme="majorHAnsi" w:hAnsiTheme="majorHAnsi"/>
                <w:sz w:val="28"/>
                <w:szCs w:val="28"/>
              </w:rPr>
              <w:t>6.3</w:t>
            </w:r>
          </w:p>
        </w:tc>
        <w:tc>
          <w:tcPr>
            <w:tcW w:w="4956" w:type="dxa"/>
          </w:tcPr>
          <w:p w14:paraId="2BBBC68E" w14:textId="77777777" w:rsidR="00C10C87" w:rsidRPr="00200825" w:rsidRDefault="00FF2E83" w:rsidP="00AE494E">
            <w:pPr>
              <w:jc w:val="both"/>
              <w:rPr>
                <w:rFonts w:asciiTheme="majorHAnsi" w:hAnsiTheme="majorHAnsi"/>
                <w:sz w:val="28"/>
                <w:szCs w:val="28"/>
              </w:rPr>
            </w:pPr>
            <w:r w:rsidRPr="00200825">
              <w:rPr>
                <w:rFonts w:asciiTheme="majorHAnsi" w:hAnsiTheme="majorHAnsi"/>
                <w:sz w:val="28"/>
                <w:szCs w:val="28"/>
              </w:rPr>
              <w:t>Змінено округлення чисел</w:t>
            </w:r>
          </w:p>
        </w:tc>
      </w:tr>
      <w:tr w:rsidR="00C10C87" w:rsidRPr="00200825" w14:paraId="6BDFE490" w14:textId="77777777" w:rsidTr="00C10C87">
        <w:tc>
          <w:tcPr>
            <w:tcW w:w="4955" w:type="dxa"/>
          </w:tcPr>
          <w:p w14:paraId="38592208" w14:textId="77777777" w:rsidR="00C10C87" w:rsidRPr="00200825" w:rsidRDefault="00FF2E83" w:rsidP="00AE494E">
            <w:pPr>
              <w:jc w:val="both"/>
              <w:rPr>
                <w:rFonts w:asciiTheme="majorHAnsi" w:hAnsiTheme="majorHAnsi"/>
                <w:sz w:val="28"/>
                <w:szCs w:val="28"/>
              </w:rPr>
            </w:pPr>
            <w:r w:rsidRPr="00200825">
              <w:rPr>
                <w:rFonts w:asciiTheme="majorHAnsi" w:hAnsiTheme="majorHAnsi"/>
                <w:sz w:val="28"/>
                <w:szCs w:val="28"/>
              </w:rPr>
              <w:t xml:space="preserve">6.6 </w:t>
            </w:r>
          </w:p>
        </w:tc>
        <w:tc>
          <w:tcPr>
            <w:tcW w:w="4956" w:type="dxa"/>
          </w:tcPr>
          <w:p w14:paraId="4E7B5104" w14:textId="77777777" w:rsidR="00C10C87" w:rsidRPr="00200825" w:rsidRDefault="00FF2E83" w:rsidP="005A5F08">
            <w:pPr>
              <w:jc w:val="both"/>
              <w:rPr>
                <w:rFonts w:asciiTheme="majorHAnsi" w:hAnsiTheme="majorHAnsi"/>
                <w:sz w:val="28"/>
                <w:szCs w:val="28"/>
              </w:rPr>
            </w:pPr>
            <w:r w:rsidRPr="00200825">
              <w:rPr>
                <w:rFonts w:asciiTheme="majorHAnsi" w:hAnsiTheme="majorHAnsi"/>
                <w:sz w:val="28"/>
                <w:szCs w:val="28"/>
              </w:rPr>
              <w:t xml:space="preserve">Вимоги до звітності оновлено </w:t>
            </w:r>
            <w:r w:rsidR="005A5F08" w:rsidRPr="00200825">
              <w:rPr>
                <w:rFonts w:asciiTheme="majorHAnsi" w:hAnsiTheme="majorHAnsi"/>
                <w:sz w:val="28"/>
                <w:szCs w:val="28"/>
              </w:rPr>
              <w:t xml:space="preserve">відповідно до </w:t>
            </w:r>
            <w:r w:rsidRPr="00200825">
              <w:rPr>
                <w:rFonts w:asciiTheme="majorHAnsi" w:hAnsiTheme="majorHAnsi"/>
                <w:sz w:val="28"/>
                <w:szCs w:val="28"/>
              </w:rPr>
              <w:t>ISO/IEC 17025:2017</w:t>
            </w:r>
          </w:p>
        </w:tc>
      </w:tr>
      <w:tr w:rsidR="00C10C87" w:rsidRPr="00200825" w14:paraId="7698F07E" w14:textId="77777777" w:rsidTr="00C10C87">
        <w:tc>
          <w:tcPr>
            <w:tcW w:w="4955" w:type="dxa"/>
          </w:tcPr>
          <w:p w14:paraId="0750478D" w14:textId="77777777" w:rsidR="00C10C87" w:rsidRPr="00200825" w:rsidRDefault="005A5F08" w:rsidP="005A5F08">
            <w:pPr>
              <w:jc w:val="both"/>
              <w:rPr>
                <w:rFonts w:asciiTheme="majorHAnsi" w:hAnsiTheme="majorHAnsi"/>
                <w:sz w:val="28"/>
                <w:szCs w:val="28"/>
              </w:rPr>
            </w:pPr>
            <w:r w:rsidRPr="00200825">
              <w:rPr>
                <w:rFonts w:asciiTheme="majorHAnsi" w:hAnsiTheme="majorHAnsi"/>
                <w:sz w:val="28"/>
                <w:szCs w:val="28"/>
              </w:rPr>
              <w:t>7.Посилання та 8. Приклади керівних документів</w:t>
            </w:r>
          </w:p>
        </w:tc>
        <w:tc>
          <w:tcPr>
            <w:tcW w:w="4956" w:type="dxa"/>
          </w:tcPr>
          <w:p w14:paraId="2DD59A9B" w14:textId="77777777" w:rsidR="00C10C87" w:rsidRPr="00200825" w:rsidRDefault="005A5F08" w:rsidP="00AE494E">
            <w:pPr>
              <w:jc w:val="both"/>
              <w:rPr>
                <w:rFonts w:asciiTheme="majorHAnsi" w:hAnsiTheme="majorHAnsi"/>
                <w:sz w:val="28"/>
                <w:szCs w:val="28"/>
              </w:rPr>
            </w:pPr>
            <w:r w:rsidRPr="00200825">
              <w:rPr>
                <w:rFonts w:asciiTheme="majorHAnsi" w:hAnsiTheme="majorHAnsi"/>
                <w:sz w:val="28"/>
                <w:szCs w:val="28"/>
              </w:rPr>
              <w:t>Оновлено</w:t>
            </w:r>
          </w:p>
        </w:tc>
      </w:tr>
      <w:tr w:rsidR="00C10C87" w14:paraId="54265F9D" w14:textId="77777777" w:rsidTr="00C10C87">
        <w:tc>
          <w:tcPr>
            <w:tcW w:w="4955" w:type="dxa"/>
          </w:tcPr>
          <w:p w14:paraId="644EF6DA" w14:textId="77777777" w:rsidR="00C10C87" w:rsidRPr="00200825" w:rsidRDefault="005A5F08" w:rsidP="00AE494E">
            <w:pPr>
              <w:jc w:val="both"/>
              <w:rPr>
                <w:rFonts w:asciiTheme="majorHAnsi" w:hAnsiTheme="majorHAnsi"/>
                <w:sz w:val="28"/>
                <w:szCs w:val="28"/>
              </w:rPr>
            </w:pPr>
            <w:r w:rsidRPr="00200825">
              <w:rPr>
                <w:rFonts w:asciiTheme="majorHAnsi" w:hAnsiTheme="majorHAnsi"/>
                <w:sz w:val="28"/>
                <w:szCs w:val="28"/>
              </w:rPr>
              <w:t>Додаток В</w:t>
            </w:r>
          </w:p>
        </w:tc>
        <w:tc>
          <w:tcPr>
            <w:tcW w:w="4956" w:type="dxa"/>
          </w:tcPr>
          <w:p w14:paraId="4460E462" w14:textId="77777777" w:rsidR="00C10C87" w:rsidRDefault="005A5F08" w:rsidP="00AE494E">
            <w:pPr>
              <w:jc w:val="both"/>
              <w:rPr>
                <w:rFonts w:asciiTheme="majorHAnsi" w:hAnsiTheme="majorHAnsi"/>
                <w:sz w:val="28"/>
                <w:szCs w:val="28"/>
              </w:rPr>
            </w:pPr>
            <w:r w:rsidRPr="00200825">
              <w:rPr>
                <w:rFonts w:asciiTheme="majorHAnsi" w:hAnsiTheme="majorHAnsi"/>
                <w:sz w:val="28"/>
                <w:szCs w:val="28"/>
              </w:rPr>
              <w:t>Д</w:t>
            </w:r>
            <w:r w:rsidR="00984244" w:rsidRPr="00200825">
              <w:rPr>
                <w:rFonts w:asciiTheme="majorHAnsi" w:hAnsiTheme="majorHAnsi"/>
                <w:sz w:val="28"/>
                <w:szCs w:val="28"/>
              </w:rPr>
              <w:t>одана</w:t>
            </w:r>
            <w:r w:rsidRPr="00200825">
              <w:rPr>
                <w:rFonts w:asciiTheme="majorHAnsi" w:hAnsiTheme="majorHAnsi"/>
                <w:sz w:val="28"/>
                <w:szCs w:val="28"/>
              </w:rPr>
              <w:t xml:space="preserve"> таблиця коригувань</w:t>
            </w:r>
            <w:r>
              <w:rPr>
                <w:rFonts w:asciiTheme="majorHAnsi" w:hAnsiTheme="majorHAnsi"/>
                <w:sz w:val="28"/>
                <w:szCs w:val="28"/>
              </w:rPr>
              <w:t xml:space="preserve">  </w:t>
            </w:r>
          </w:p>
        </w:tc>
      </w:tr>
    </w:tbl>
    <w:p w14:paraId="5F2EE5F8" w14:textId="77777777" w:rsidR="00C10C87" w:rsidRPr="00FF071D" w:rsidRDefault="00C10C87" w:rsidP="00AE494E">
      <w:pPr>
        <w:spacing w:after="0"/>
        <w:jc w:val="both"/>
        <w:rPr>
          <w:rFonts w:asciiTheme="majorHAnsi" w:hAnsiTheme="majorHAnsi"/>
          <w:sz w:val="28"/>
          <w:szCs w:val="28"/>
        </w:rPr>
      </w:pPr>
    </w:p>
    <w:p w14:paraId="2539566D" w14:textId="77777777" w:rsidR="008E2E99" w:rsidRDefault="008E2E99" w:rsidP="008E2E99">
      <w:pPr>
        <w:spacing w:after="0"/>
        <w:ind w:left="720"/>
        <w:jc w:val="both"/>
        <w:rPr>
          <w:rFonts w:asciiTheme="majorHAnsi" w:hAnsiTheme="majorHAnsi"/>
          <w:b/>
          <w:sz w:val="28"/>
          <w:szCs w:val="28"/>
        </w:rPr>
      </w:pPr>
    </w:p>
    <w:p w14:paraId="23B56CB0" w14:textId="77777777" w:rsidR="00AE494E" w:rsidRPr="00FE42AD" w:rsidRDefault="00AE494E" w:rsidP="008E2E99">
      <w:pPr>
        <w:spacing w:after="0"/>
        <w:ind w:left="720"/>
        <w:jc w:val="both"/>
        <w:rPr>
          <w:rFonts w:asciiTheme="majorHAnsi" w:hAnsiTheme="majorHAnsi"/>
          <w:b/>
          <w:sz w:val="28"/>
          <w:szCs w:val="28"/>
        </w:rPr>
      </w:pPr>
    </w:p>
    <w:p w14:paraId="021774A8" w14:textId="77777777" w:rsidR="00917FEC" w:rsidRDefault="00917FEC" w:rsidP="00B35C99">
      <w:pPr>
        <w:spacing w:after="0"/>
        <w:ind w:left="720"/>
        <w:jc w:val="both"/>
        <w:rPr>
          <w:rFonts w:asciiTheme="majorHAnsi" w:hAnsiTheme="majorHAnsi"/>
          <w:b/>
          <w:sz w:val="28"/>
          <w:szCs w:val="28"/>
        </w:rPr>
      </w:pPr>
    </w:p>
    <w:p w14:paraId="58E306E7" w14:textId="77777777" w:rsidR="00917FEC" w:rsidRDefault="00917FEC" w:rsidP="00B35C99">
      <w:pPr>
        <w:spacing w:after="0"/>
        <w:ind w:left="720"/>
        <w:jc w:val="both"/>
        <w:rPr>
          <w:rFonts w:asciiTheme="majorHAnsi" w:hAnsiTheme="majorHAnsi"/>
          <w:b/>
          <w:sz w:val="28"/>
          <w:szCs w:val="28"/>
        </w:rPr>
      </w:pPr>
    </w:p>
    <w:p w14:paraId="188CBCC4" w14:textId="77777777" w:rsidR="00A15D66" w:rsidRDefault="00A15D66" w:rsidP="00A15D66">
      <w:pPr>
        <w:spacing w:after="0"/>
        <w:jc w:val="both"/>
        <w:rPr>
          <w:rFonts w:asciiTheme="majorHAnsi" w:hAnsiTheme="majorHAnsi"/>
          <w:sz w:val="28"/>
          <w:szCs w:val="28"/>
        </w:rPr>
      </w:pPr>
    </w:p>
    <w:sectPr w:rsidR="00A15D66" w:rsidSect="00816B1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772D7"/>
    <w:multiLevelType w:val="hybridMultilevel"/>
    <w:tmpl w:val="D9506C1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63710E1"/>
    <w:multiLevelType w:val="hybridMultilevel"/>
    <w:tmpl w:val="08864FA4"/>
    <w:lvl w:ilvl="0" w:tplc="0419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39BF1948"/>
    <w:multiLevelType w:val="hybridMultilevel"/>
    <w:tmpl w:val="A00C93EC"/>
    <w:lvl w:ilvl="0" w:tplc="335811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BE139EA"/>
    <w:multiLevelType w:val="multilevel"/>
    <w:tmpl w:val="06487098"/>
    <w:lvl w:ilvl="0">
      <w:start w:val="1"/>
      <w:numFmt w:val="decimal"/>
      <w:lvlText w:val="%1."/>
      <w:lvlJc w:val="left"/>
      <w:pPr>
        <w:ind w:left="720" w:hanging="360"/>
      </w:pPr>
      <w:rPr>
        <w:rFonts w:hint="default"/>
      </w:rPr>
    </w:lvl>
    <w:lvl w:ilvl="1">
      <w:start w:val="1"/>
      <w:numFmt w:val="decimal"/>
      <w:isLgl/>
      <w:lvlText w:val="%1.%2"/>
      <w:lvlJc w:val="left"/>
      <w:pPr>
        <w:ind w:left="1130"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88E0206"/>
    <w:multiLevelType w:val="hybridMultilevel"/>
    <w:tmpl w:val="9410B372"/>
    <w:lvl w:ilvl="0" w:tplc="EEA6D4AE">
      <w:start w:val="7"/>
      <w:numFmt w:val="bullet"/>
      <w:lvlText w:val="-"/>
      <w:lvlJc w:val="left"/>
      <w:pPr>
        <w:ind w:left="1080" w:hanging="360"/>
      </w:pPr>
      <w:rPr>
        <w:rFonts w:ascii="Calibri Light" w:eastAsiaTheme="minorHAnsi" w:hAnsi="Calibri Light"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5ABC1912"/>
    <w:multiLevelType w:val="hybridMultilevel"/>
    <w:tmpl w:val="4D7C21CC"/>
    <w:lvl w:ilvl="0" w:tplc="C2D28554">
      <w:numFmt w:val="bullet"/>
      <w:lvlText w:val=""/>
      <w:lvlJc w:val="left"/>
      <w:pPr>
        <w:ind w:left="720" w:hanging="360"/>
      </w:pPr>
      <w:rPr>
        <w:rFonts w:ascii="Calibri Light" w:eastAsiaTheme="minorHAnsi" w:hAnsi="Calibri Light"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1116A4E"/>
    <w:multiLevelType w:val="hybridMultilevel"/>
    <w:tmpl w:val="D172776C"/>
    <w:lvl w:ilvl="0" w:tplc="720A84B0">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33F7F1A"/>
    <w:multiLevelType w:val="hybridMultilevel"/>
    <w:tmpl w:val="9E5EF2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BB827AC"/>
    <w:multiLevelType w:val="hybridMultilevel"/>
    <w:tmpl w:val="58065A0C"/>
    <w:lvl w:ilvl="0" w:tplc="F12A769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293901490">
    <w:abstractNumId w:val="0"/>
  </w:num>
  <w:num w:numId="2" w16cid:durableId="931741669">
    <w:abstractNumId w:val="5"/>
  </w:num>
  <w:num w:numId="3" w16cid:durableId="738358923">
    <w:abstractNumId w:val="7"/>
  </w:num>
  <w:num w:numId="4" w16cid:durableId="1996956055">
    <w:abstractNumId w:val="3"/>
  </w:num>
  <w:num w:numId="5" w16cid:durableId="1636522388">
    <w:abstractNumId w:val="4"/>
  </w:num>
  <w:num w:numId="6" w16cid:durableId="617489044">
    <w:abstractNumId w:val="8"/>
  </w:num>
  <w:num w:numId="7" w16cid:durableId="32275390">
    <w:abstractNumId w:val="1"/>
  </w:num>
  <w:num w:numId="8" w16cid:durableId="725950801">
    <w:abstractNumId w:val="6"/>
  </w:num>
  <w:num w:numId="9" w16cid:durableId="134436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49"/>
    <w:rsid w:val="000157C2"/>
    <w:rsid w:val="00034D4E"/>
    <w:rsid w:val="00043250"/>
    <w:rsid w:val="00053450"/>
    <w:rsid w:val="00060B2D"/>
    <w:rsid w:val="0006643F"/>
    <w:rsid w:val="000A5921"/>
    <w:rsid w:val="000B3932"/>
    <w:rsid w:val="000B4960"/>
    <w:rsid w:val="000D2438"/>
    <w:rsid w:val="000D30C4"/>
    <w:rsid w:val="000E03FC"/>
    <w:rsid w:val="000E5D42"/>
    <w:rsid w:val="00103C14"/>
    <w:rsid w:val="00107F46"/>
    <w:rsid w:val="00115416"/>
    <w:rsid w:val="001545A5"/>
    <w:rsid w:val="00162116"/>
    <w:rsid w:val="00165F67"/>
    <w:rsid w:val="00171997"/>
    <w:rsid w:val="0018114C"/>
    <w:rsid w:val="0019565A"/>
    <w:rsid w:val="001F4026"/>
    <w:rsid w:val="00200825"/>
    <w:rsid w:val="00215D82"/>
    <w:rsid w:val="002161CF"/>
    <w:rsid w:val="00237816"/>
    <w:rsid w:val="002378F8"/>
    <w:rsid w:val="00253153"/>
    <w:rsid w:val="002546D6"/>
    <w:rsid w:val="00272F0D"/>
    <w:rsid w:val="00283B7D"/>
    <w:rsid w:val="00285067"/>
    <w:rsid w:val="002D0FE7"/>
    <w:rsid w:val="002D54A8"/>
    <w:rsid w:val="002D60A7"/>
    <w:rsid w:val="002E1D27"/>
    <w:rsid w:val="002E7073"/>
    <w:rsid w:val="002F01CB"/>
    <w:rsid w:val="002F1CD1"/>
    <w:rsid w:val="003020D8"/>
    <w:rsid w:val="00306B38"/>
    <w:rsid w:val="00310706"/>
    <w:rsid w:val="0031574E"/>
    <w:rsid w:val="003265D4"/>
    <w:rsid w:val="00332BFB"/>
    <w:rsid w:val="00340D2C"/>
    <w:rsid w:val="003426D4"/>
    <w:rsid w:val="00343107"/>
    <w:rsid w:val="00347298"/>
    <w:rsid w:val="00354665"/>
    <w:rsid w:val="00354740"/>
    <w:rsid w:val="003649E2"/>
    <w:rsid w:val="003848BD"/>
    <w:rsid w:val="00397F4B"/>
    <w:rsid w:val="003B51E3"/>
    <w:rsid w:val="003B6F8B"/>
    <w:rsid w:val="003B7618"/>
    <w:rsid w:val="003C3BAA"/>
    <w:rsid w:val="003E1A48"/>
    <w:rsid w:val="0041062C"/>
    <w:rsid w:val="004363A3"/>
    <w:rsid w:val="00461816"/>
    <w:rsid w:val="0046384C"/>
    <w:rsid w:val="00466AF5"/>
    <w:rsid w:val="004735A6"/>
    <w:rsid w:val="0049733D"/>
    <w:rsid w:val="004A7C85"/>
    <w:rsid w:val="004C14F6"/>
    <w:rsid w:val="004D244D"/>
    <w:rsid w:val="004D36E7"/>
    <w:rsid w:val="004D682C"/>
    <w:rsid w:val="004E1FD7"/>
    <w:rsid w:val="004E29E3"/>
    <w:rsid w:val="005014D3"/>
    <w:rsid w:val="00502745"/>
    <w:rsid w:val="00510819"/>
    <w:rsid w:val="005139A5"/>
    <w:rsid w:val="00525541"/>
    <w:rsid w:val="0053403F"/>
    <w:rsid w:val="005379CB"/>
    <w:rsid w:val="00544568"/>
    <w:rsid w:val="00574211"/>
    <w:rsid w:val="0057707F"/>
    <w:rsid w:val="00597C89"/>
    <w:rsid w:val="005A5F08"/>
    <w:rsid w:val="005D24B1"/>
    <w:rsid w:val="00610659"/>
    <w:rsid w:val="0061258D"/>
    <w:rsid w:val="00623C56"/>
    <w:rsid w:val="0063479B"/>
    <w:rsid w:val="006801DA"/>
    <w:rsid w:val="006A1107"/>
    <w:rsid w:val="006A1C08"/>
    <w:rsid w:val="006A3E63"/>
    <w:rsid w:val="006B1920"/>
    <w:rsid w:val="006D1F5A"/>
    <w:rsid w:val="006E3131"/>
    <w:rsid w:val="00702D15"/>
    <w:rsid w:val="00705E4D"/>
    <w:rsid w:val="0070685E"/>
    <w:rsid w:val="007259F0"/>
    <w:rsid w:val="00730002"/>
    <w:rsid w:val="00733AC8"/>
    <w:rsid w:val="0075608F"/>
    <w:rsid w:val="0076050D"/>
    <w:rsid w:val="00762A58"/>
    <w:rsid w:val="00763888"/>
    <w:rsid w:val="00765994"/>
    <w:rsid w:val="007756E4"/>
    <w:rsid w:val="007942FA"/>
    <w:rsid w:val="007A4126"/>
    <w:rsid w:val="007B6C52"/>
    <w:rsid w:val="007D0DBA"/>
    <w:rsid w:val="007E43D8"/>
    <w:rsid w:val="008154DE"/>
    <w:rsid w:val="00816B1E"/>
    <w:rsid w:val="008174F9"/>
    <w:rsid w:val="00821246"/>
    <w:rsid w:val="00830265"/>
    <w:rsid w:val="00844B20"/>
    <w:rsid w:val="00846DDB"/>
    <w:rsid w:val="00873FE0"/>
    <w:rsid w:val="008743DF"/>
    <w:rsid w:val="00883887"/>
    <w:rsid w:val="00892CFC"/>
    <w:rsid w:val="00896CED"/>
    <w:rsid w:val="008B77EB"/>
    <w:rsid w:val="008C3FC3"/>
    <w:rsid w:val="008C5BC7"/>
    <w:rsid w:val="008C6F3D"/>
    <w:rsid w:val="008E2E99"/>
    <w:rsid w:val="008E3639"/>
    <w:rsid w:val="008E3AC2"/>
    <w:rsid w:val="008E4352"/>
    <w:rsid w:val="00911975"/>
    <w:rsid w:val="009157A8"/>
    <w:rsid w:val="00917D83"/>
    <w:rsid w:val="00917FEC"/>
    <w:rsid w:val="0092575E"/>
    <w:rsid w:val="00940EAD"/>
    <w:rsid w:val="00950A03"/>
    <w:rsid w:val="0096508F"/>
    <w:rsid w:val="009701A4"/>
    <w:rsid w:val="00971C59"/>
    <w:rsid w:val="00973EE7"/>
    <w:rsid w:val="009755E5"/>
    <w:rsid w:val="00983952"/>
    <w:rsid w:val="00984244"/>
    <w:rsid w:val="009977EC"/>
    <w:rsid w:val="009A5ED9"/>
    <w:rsid w:val="009B5243"/>
    <w:rsid w:val="009B658F"/>
    <w:rsid w:val="009E1E8F"/>
    <w:rsid w:val="009E4D94"/>
    <w:rsid w:val="009F5E02"/>
    <w:rsid w:val="00A121A6"/>
    <w:rsid w:val="00A15D66"/>
    <w:rsid w:val="00A31A95"/>
    <w:rsid w:val="00A415FA"/>
    <w:rsid w:val="00A4743A"/>
    <w:rsid w:val="00A622CF"/>
    <w:rsid w:val="00AA03EF"/>
    <w:rsid w:val="00AB6571"/>
    <w:rsid w:val="00AE494E"/>
    <w:rsid w:val="00AF2E28"/>
    <w:rsid w:val="00AF46C4"/>
    <w:rsid w:val="00B02797"/>
    <w:rsid w:val="00B05011"/>
    <w:rsid w:val="00B30E5D"/>
    <w:rsid w:val="00B35C99"/>
    <w:rsid w:val="00B56B43"/>
    <w:rsid w:val="00B76F2C"/>
    <w:rsid w:val="00B97E6F"/>
    <w:rsid w:val="00BA2C0E"/>
    <w:rsid w:val="00BA7356"/>
    <w:rsid w:val="00BB58D4"/>
    <w:rsid w:val="00BC2F0B"/>
    <w:rsid w:val="00BD1F08"/>
    <w:rsid w:val="00BD2E0C"/>
    <w:rsid w:val="00BD75C8"/>
    <w:rsid w:val="00BE2580"/>
    <w:rsid w:val="00BE3B30"/>
    <w:rsid w:val="00BF06CC"/>
    <w:rsid w:val="00BF392E"/>
    <w:rsid w:val="00C10C87"/>
    <w:rsid w:val="00C114D9"/>
    <w:rsid w:val="00C13910"/>
    <w:rsid w:val="00C139D6"/>
    <w:rsid w:val="00C165F7"/>
    <w:rsid w:val="00C21FFB"/>
    <w:rsid w:val="00C40265"/>
    <w:rsid w:val="00C46216"/>
    <w:rsid w:val="00C5126A"/>
    <w:rsid w:val="00C616FD"/>
    <w:rsid w:val="00C61C7C"/>
    <w:rsid w:val="00C745F0"/>
    <w:rsid w:val="00C74BE4"/>
    <w:rsid w:val="00C87CB6"/>
    <w:rsid w:val="00C93C76"/>
    <w:rsid w:val="00C95AB5"/>
    <w:rsid w:val="00CA08F9"/>
    <w:rsid w:val="00CA4A40"/>
    <w:rsid w:val="00CB4838"/>
    <w:rsid w:val="00CB5304"/>
    <w:rsid w:val="00CB6BEE"/>
    <w:rsid w:val="00CB78B2"/>
    <w:rsid w:val="00CD6724"/>
    <w:rsid w:val="00CD6F31"/>
    <w:rsid w:val="00CF1092"/>
    <w:rsid w:val="00D00458"/>
    <w:rsid w:val="00D15CAD"/>
    <w:rsid w:val="00D232BA"/>
    <w:rsid w:val="00D308C6"/>
    <w:rsid w:val="00D34B71"/>
    <w:rsid w:val="00D35ABF"/>
    <w:rsid w:val="00D37782"/>
    <w:rsid w:val="00D523DC"/>
    <w:rsid w:val="00D96C39"/>
    <w:rsid w:val="00DA3D59"/>
    <w:rsid w:val="00DA4F6D"/>
    <w:rsid w:val="00DC7589"/>
    <w:rsid w:val="00DD1B49"/>
    <w:rsid w:val="00DE38CA"/>
    <w:rsid w:val="00E36DDE"/>
    <w:rsid w:val="00E43D21"/>
    <w:rsid w:val="00E46CE2"/>
    <w:rsid w:val="00E50113"/>
    <w:rsid w:val="00E62F36"/>
    <w:rsid w:val="00E66CE2"/>
    <w:rsid w:val="00E718D9"/>
    <w:rsid w:val="00EA5F3E"/>
    <w:rsid w:val="00EB78A5"/>
    <w:rsid w:val="00EC0197"/>
    <w:rsid w:val="00ED6516"/>
    <w:rsid w:val="00EE1206"/>
    <w:rsid w:val="00EF1563"/>
    <w:rsid w:val="00EF297E"/>
    <w:rsid w:val="00EF2AAF"/>
    <w:rsid w:val="00F03B44"/>
    <w:rsid w:val="00F15A2E"/>
    <w:rsid w:val="00F26937"/>
    <w:rsid w:val="00F34D19"/>
    <w:rsid w:val="00F41C9E"/>
    <w:rsid w:val="00F43873"/>
    <w:rsid w:val="00F75D72"/>
    <w:rsid w:val="00F92B8A"/>
    <w:rsid w:val="00F94D9D"/>
    <w:rsid w:val="00FA1EF8"/>
    <w:rsid w:val="00FB1180"/>
    <w:rsid w:val="00FC0E75"/>
    <w:rsid w:val="00FC3D74"/>
    <w:rsid w:val="00FD1CA7"/>
    <w:rsid w:val="00FD601F"/>
    <w:rsid w:val="00FD62ED"/>
    <w:rsid w:val="00FE0A85"/>
    <w:rsid w:val="00FE33D0"/>
    <w:rsid w:val="00FE42AD"/>
    <w:rsid w:val="00FF071D"/>
    <w:rsid w:val="00FF2E83"/>
    <w:rsid w:val="00FF312B"/>
    <w:rsid w:val="00FF7A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249C"/>
  <w15:chartTrackingRefBased/>
  <w15:docId w15:val="{C66C29D6-24AC-484F-831F-03A875CA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37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CE2"/>
    <w:pPr>
      <w:ind w:left="720"/>
      <w:contextualSpacing/>
    </w:pPr>
  </w:style>
  <w:style w:type="character" w:styleId="a4">
    <w:name w:val="Hyperlink"/>
    <w:basedOn w:val="a0"/>
    <w:uiPriority w:val="99"/>
    <w:unhideWhenUsed/>
    <w:rsid w:val="00CB6BEE"/>
    <w:rPr>
      <w:color w:val="0563C1" w:themeColor="hyperlink"/>
      <w:u w:val="single"/>
    </w:rPr>
  </w:style>
  <w:style w:type="character" w:customStyle="1" w:styleId="10">
    <w:name w:val="Заголовок 1 Знак"/>
    <w:basedOn w:val="a0"/>
    <w:link w:val="1"/>
    <w:uiPriority w:val="9"/>
    <w:rsid w:val="002378F8"/>
    <w:rPr>
      <w:rFonts w:ascii="Times New Roman" w:eastAsia="Times New Roman" w:hAnsi="Times New Roman" w:cs="Times New Roman"/>
      <w:b/>
      <w:bCs/>
      <w:kern w:val="36"/>
      <w:sz w:val="48"/>
      <w:szCs w:val="48"/>
      <w:lang w:eastAsia="uk-UA"/>
    </w:rPr>
  </w:style>
  <w:style w:type="table" w:styleId="a5">
    <w:name w:val="Table Grid"/>
    <w:basedOn w:val="a1"/>
    <w:uiPriority w:val="39"/>
    <w:rsid w:val="00C1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157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5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2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a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lac@nata.com.a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ublicsectorassurance.org" TargetMode="External"/><Relationship Id="rId11" Type="http://schemas.openxmlformats.org/officeDocument/2006/relationships/hyperlink" Target="http://www.cofrac.fr" TargetMode="External"/><Relationship Id="rId5" Type="http://schemas.openxmlformats.org/officeDocument/2006/relationships/webSettings" Target="webSettings.xml"/><Relationship Id="rId10" Type="http://schemas.openxmlformats.org/officeDocument/2006/relationships/hyperlink" Target="http://www.ukas.com" TargetMode="External"/><Relationship Id="rId4" Type="http://schemas.openxmlformats.org/officeDocument/2006/relationships/settings" Target="settings.xml"/><Relationship Id="rId9" Type="http://schemas.openxmlformats.org/officeDocument/2006/relationships/hyperlink" Target="https://www.youtube.com/user/IAFandIL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3AC32-6358-4D3C-9633-1BFC302F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4131</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Dep46</dc:creator>
  <cp:keywords/>
  <dc:description/>
  <cp:lastModifiedBy>Svetlana Nikiforova</cp:lastModifiedBy>
  <cp:revision>2</cp:revision>
  <cp:lastPrinted>2023-05-03T08:43:00Z</cp:lastPrinted>
  <dcterms:created xsi:type="dcterms:W3CDTF">2025-07-07T07:18:00Z</dcterms:created>
  <dcterms:modified xsi:type="dcterms:W3CDTF">2025-07-07T07:18:00Z</dcterms:modified>
</cp:coreProperties>
</file>